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162"/>
        <w:gridCol w:w="1004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45" w:type="dxa"/>
            <w:vAlign w:val="center"/>
          </w:tcPr>
          <w:p>
            <w:pPr>
              <w:spacing w:line="240" w:lineRule="auto"/>
              <w:jc w:val="left"/>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梁自牛</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张佩佩</w:t>
            </w:r>
          </w:p>
        </w:tc>
        <w:tc>
          <w:tcPr>
            <w:tcW w:w="1342"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2160" w:type="dxa"/>
            <w:vMerge w:val="continue"/>
            <w:vAlign w:val="center"/>
          </w:tcPr>
          <w:p/>
        </w:tc>
        <w:tc>
          <w:tcPr>
            <w:tcW w:w="1162" w:type="dxa"/>
            <w:vMerge w:val="continue"/>
            <w:vAlign w:val="center"/>
          </w:tcPr>
          <w:p/>
        </w:tc>
        <w:tc>
          <w:tcPr>
            <w:tcW w:w="10045" w:type="dxa"/>
            <w:vAlign w:val="center"/>
          </w:tcPr>
          <w:p>
            <w:pPr>
              <w:snapToGrid w:val="0"/>
              <w:spacing w:line="240" w:lineRule="auto"/>
              <w:jc w:val="left"/>
            </w:pPr>
            <w:r>
              <w:rPr>
                <w:rFonts w:hint="eastAsia"/>
                <w:sz w:val="24"/>
                <w:szCs w:val="24"/>
              </w:rPr>
              <w:t>审核员</w:t>
            </w:r>
            <w:r>
              <w:rPr>
                <w:rFonts w:hint="eastAsia"/>
                <w:sz w:val="24"/>
                <w:szCs w:val="24"/>
                <w:lang w:eastAsia="zh-CN"/>
              </w:rPr>
              <w:t>：</w:t>
            </w:r>
            <w:r>
              <w:rPr>
                <w:rFonts w:hint="eastAsia"/>
                <w:sz w:val="24"/>
                <w:szCs w:val="24"/>
              </w:rPr>
              <w:t>喻荣秋、</w:t>
            </w:r>
            <w:r>
              <w:rPr>
                <w:rFonts w:hint="eastAsia"/>
                <w:sz w:val="24"/>
                <w:szCs w:val="24"/>
                <w:lang w:val="en-US" w:eastAsia="zh-CN"/>
              </w:rPr>
              <w:t>王琳</w:t>
            </w:r>
            <w:bookmarkStart w:id="3" w:name="_GoBack"/>
            <w:bookmarkEnd w:id="3"/>
            <w:r>
              <w:rPr>
                <w:rFonts w:hint="eastAsia"/>
                <w:sz w:val="24"/>
                <w:szCs w:val="24"/>
                <w:lang w:val="en-US" w:eastAsia="zh-CN"/>
              </w:rPr>
              <w:t>（实习）、</w:t>
            </w:r>
            <w:r>
              <w:rPr>
                <w:rFonts w:hint="eastAsia"/>
                <w:sz w:val="24"/>
                <w:szCs w:val="24"/>
                <w:lang w:val="de-DE"/>
              </w:rPr>
              <w:t>陈彦文</w:t>
            </w:r>
            <w:r>
              <w:rPr>
                <w:rFonts w:hint="eastAsia"/>
                <w:sz w:val="24"/>
                <w:szCs w:val="24"/>
              </w:rPr>
              <w:t>(</w:t>
            </w:r>
            <w:r>
              <w:rPr>
                <w:rFonts w:hint="eastAsia"/>
                <w:sz w:val="24"/>
                <w:szCs w:val="24"/>
                <w:lang w:val="en-US" w:eastAsia="zh-CN"/>
              </w:rPr>
              <w:t>提供专业</w:t>
            </w:r>
            <w:r>
              <w:rPr>
                <w:rFonts w:hint="eastAsia"/>
                <w:sz w:val="24"/>
                <w:szCs w:val="24"/>
              </w:rPr>
              <w:t xml:space="preserve">技术支持) </w:t>
            </w:r>
            <w:r>
              <w:rPr>
                <w:rFonts w:hint="eastAsia"/>
                <w:sz w:val="24"/>
                <w:szCs w:val="24"/>
                <w:lang w:val="en-US" w:eastAsia="zh-CN"/>
              </w:rPr>
              <w:t xml:space="preserve">  </w:t>
            </w:r>
            <w:r>
              <w:rPr>
                <w:rFonts w:hint="eastAsia"/>
                <w:sz w:val="24"/>
                <w:szCs w:val="24"/>
              </w:rPr>
              <w:t>审核时间：</w:t>
            </w:r>
            <w:bookmarkStart w:id="0" w:name="审核日期"/>
            <w:r>
              <w:rPr>
                <w:rFonts w:hint="eastAsia"/>
                <w:sz w:val="24"/>
                <w:szCs w:val="24"/>
              </w:rPr>
              <w:t>2021年12月25日</w:t>
            </w:r>
            <w:bookmarkEnd w:id="0"/>
          </w:p>
        </w:tc>
        <w:tc>
          <w:tcPr>
            <w:tcW w:w="13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162" w:type="dxa"/>
            <w:vMerge w:val="continue"/>
            <w:vAlign w:val="center"/>
          </w:tcPr>
          <w:p/>
        </w:tc>
        <w:tc>
          <w:tcPr>
            <w:tcW w:w="10045" w:type="dxa"/>
            <w:vAlign w:val="center"/>
          </w:tcPr>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审核条款：</w:t>
            </w:r>
          </w:p>
          <w:p>
            <w:pPr>
              <w:spacing w:line="240" w:lineRule="auto"/>
              <w:jc w:val="left"/>
              <w:rPr>
                <w:rFonts w:hint="eastAsia" w:ascii="Times New Roman" w:hAnsi="Times New Roman" w:eastAsia="宋体" w:cs="Times New Roman"/>
                <w:sz w:val="24"/>
                <w:szCs w:val="24"/>
                <w:lang w:val="de-DE"/>
              </w:rPr>
            </w:pPr>
            <w:r>
              <w:rPr>
                <w:rFonts w:hint="eastAsia" w:ascii="Times New Roman" w:hAnsi="Times New Roman" w:eastAsia="宋体" w:cs="Times New Roman"/>
                <w:sz w:val="24"/>
                <w:szCs w:val="24"/>
                <w:lang w:val="de-DE"/>
              </w:rPr>
              <w:t>Q:4.1组织及其环境;4.2相关方需求与期望;4.3确定体系范围;4.4体系及其过程;5.1领导作用与承诺;5.2方针;5.3组织的角色、职责和权限；6.1应对风险和机遇的措施；6.2目标及其实现的策划；6.3变更的策划；7.1.1资源 总则；7.4沟通；9.3管理评审；10.1改进 总则；10.3持续改进</w:t>
            </w:r>
          </w:p>
          <w:p>
            <w:pPr>
              <w:spacing w:line="240" w:lineRule="auto"/>
              <w:jc w:val="left"/>
            </w:pPr>
            <w:r>
              <w:rPr>
                <w:rFonts w:hint="eastAsia" w:ascii="Times New Roman" w:hAnsi="Times New Roman" w:eastAsia="宋体" w:cs="Times New Roman"/>
                <w:sz w:val="24"/>
                <w:szCs w:val="24"/>
              </w:rPr>
              <w:t>资质验证、</w:t>
            </w:r>
            <w:r>
              <w:rPr>
                <w:rFonts w:hint="eastAsia" w:ascii="Times New Roman" w:hAnsi="Times New Roman" w:eastAsia="宋体" w:cs="Times New Roman"/>
                <w:sz w:val="24"/>
                <w:szCs w:val="24"/>
                <w:lang w:val="en-US" w:eastAsia="zh-CN"/>
              </w:rPr>
              <w:t>一阶段问题验证、</w:t>
            </w:r>
            <w:r>
              <w:rPr>
                <w:rFonts w:hint="eastAsia" w:ascii="Times New Roman" w:hAnsi="Times New Roman" w:eastAsia="宋体" w:cs="Times New Roman"/>
                <w:sz w:val="24"/>
                <w:szCs w:val="24"/>
              </w:rPr>
              <w:t>安全事故、顾客投诉、抽查、遵纪守法情况、证书标志的使用，不符合项报告的验证等</w:t>
            </w:r>
          </w:p>
        </w:tc>
        <w:tc>
          <w:tcPr>
            <w:tcW w:w="13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60" w:type="dxa"/>
          </w:tcPr>
          <w:p>
            <w:pPr>
              <w:spacing w:after="0" w:line="360" w:lineRule="auto"/>
              <w:rPr>
                <w:rFonts w:ascii="宋体" w:hAnsi="宋体" w:cs="Arial"/>
                <w:spacing w:val="-6"/>
                <w:szCs w:val="21"/>
              </w:rPr>
            </w:pPr>
            <w:r>
              <w:rPr>
                <w:rFonts w:hint="eastAsia" w:ascii="宋体" w:hAnsi="宋体" w:cs="Arial"/>
                <w:spacing w:val="-6"/>
                <w:szCs w:val="21"/>
              </w:rPr>
              <w:t>理解组织及其环境</w:t>
            </w:r>
          </w:p>
        </w:tc>
        <w:tc>
          <w:tcPr>
            <w:tcW w:w="1162" w:type="dxa"/>
          </w:tcPr>
          <w:p>
            <w:pPr>
              <w:spacing w:after="0" w:line="360" w:lineRule="auto"/>
              <w:jc w:val="center"/>
              <w:rPr>
                <w:rFonts w:ascii="宋体" w:hAnsi="宋体" w:cs="Arial"/>
                <w:spacing w:val="-6"/>
                <w:szCs w:val="21"/>
              </w:rPr>
            </w:pPr>
            <w:r>
              <w:rPr>
                <w:rFonts w:hint="eastAsia" w:ascii="宋体" w:hAnsi="宋体" w:cs="Arial"/>
                <w:spacing w:val="-6"/>
                <w:szCs w:val="21"/>
              </w:rPr>
              <w:t>Q:4.1</w:t>
            </w:r>
          </w:p>
        </w:tc>
        <w:tc>
          <w:tcPr>
            <w:tcW w:w="10045" w:type="dxa"/>
          </w:tcPr>
          <w:p>
            <w:pPr>
              <w:adjustRightInd w:val="0"/>
              <w:snapToGrid w:val="0"/>
              <w:spacing w:after="0" w:line="360" w:lineRule="auto"/>
              <w:ind w:firstLine="396" w:firstLineChars="200"/>
              <w:textAlignment w:val="baseline"/>
              <w:rPr>
                <w:rFonts w:ascii="宋体" w:hAnsi="宋体" w:cs="Arial"/>
                <w:spacing w:val="-6"/>
                <w:szCs w:val="21"/>
                <w:lang w:val="de-DE"/>
              </w:rPr>
            </w:pPr>
            <w:r>
              <w:rPr>
                <w:rFonts w:hint="eastAsia" w:ascii="宋体" w:hAnsi="宋体" w:cs="Arial"/>
                <w:spacing w:val="-6"/>
                <w:szCs w:val="21"/>
                <w:lang w:val="de-DE"/>
              </w:rPr>
              <w:t>湖北顶洁企业管理有限公司</w:t>
            </w:r>
            <w:r>
              <w:rPr>
                <w:rFonts w:hint="eastAsia" w:ascii="宋体" w:hAnsi="宋体" w:cs="Arial"/>
                <w:spacing w:val="-6"/>
                <w:szCs w:val="21"/>
              </w:rPr>
              <w:t>成立于2018年4月08日</w:t>
            </w:r>
            <w:r>
              <w:rPr>
                <w:rFonts w:hint="eastAsia" w:ascii="宋体" w:hAnsi="宋体" w:cs="Arial"/>
                <w:spacing w:val="-6"/>
                <w:szCs w:val="21"/>
                <w:lang w:val="de-DE"/>
              </w:rPr>
              <w:t>；注册资金</w:t>
            </w:r>
            <w:r>
              <w:rPr>
                <w:rFonts w:hint="eastAsia" w:ascii="宋体" w:hAnsi="宋体" w:cs="Arial"/>
                <w:spacing w:val="-6"/>
                <w:szCs w:val="21"/>
              </w:rPr>
              <w:t>五百</w:t>
            </w:r>
            <w:r>
              <w:rPr>
                <w:rFonts w:hint="eastAsia" w:ascii="宋体" w:hAnsi="宋体" w:cs="Arial"/>
                <w:spacing w:val="-6"/>
                <w:szCs w:val="21"/>
                <w:lang w:val="de-DE"/>
              </w:rPr>
              <w:t>万元；</w:t>
            </w:r>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cs="Arial"/>
                <w:spacing w:val="-6"/>
                <w:szCs w:val="21"/>
              </w:rPr>
              <w:t>注册地址：</w:t>
            </w:r>
            <w:bookmarkStart w:id="1" w:name="注册地址"/>
            <w:r>
              <w:rPr>
                <w:rFonts w:hint="eastAsia" w:ascii="宋体" w:hAnsi="宋体" w:cs="Arial"/>
                <w:spacing w:val="-6"/>
                <w:szCs w:val="21"/>
              </w:rPr>
              <w:t xml:space="preserve"> 十堰市茅箭区人民南路83号</w:t>
            </w:r>
            <w:bookmarkEnd w:id="1"/>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cs="Arial"/>
                <w:spacing w:val="-6"/>
                <w:szCs w:val="21"/>
              </w:rPr>
              <w:t xml:space="preserve">经营地址： 十堰市茅箭区人民南路83号 </w:t>
            </w:r>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cs="Arial"/>
                <w:spacing w:val="-6"/>
                <w:szCs w:val="21"/>
              </w:rPr>
              <w:t xml:space="preserve">营业执照经营范围：人事关系代理，劳务派遣，劳务外包，保洁服务（需许可要求的除外） </w:t>
            </w:r>
            <w:r>
              <w:rPr>
                <w:rFonts w:hint="eastAsia"/>
                <w:color w:val="000000"/>
                <w:szCs w:val="21"/>
              </w:rPr>
              <w:t xml:space="preserve"> </w:t>
            </w:r>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cs="Arial"/>
                <w:spacing w:val="-6"/>
                <w:szCs w:val="21"/>
              </w:rPr>
              <w:t>经交流得知公司</w:t>
            </w:r>
            <w:r>
              <w:rPr>
                <w:rFonts w:ascii="宋体" w:hAnsi="宋体" w:cs="Arial"/>
                <w:spacing w:val="-6"/>
                <w:szCs w:val="21"/>
              </w:rPr>
              <w:t>通过定期的网站获取、顾客沟通、及内部总结等方式</w:t>
            </w:r>
            <w:r>
              <w:rPr>
                <w:rFonts w:hint="eastAsia" w:ascii="宋体" w:hAnsi="宋体" w:cs="Arial"/>
                <w:spacing w:val="-6"/>
                <w:szCs w:val="21"/>
              </w:rPr>
              <w:t>对内外部因素</w:t>
            </w:r>
            <w:r>
              <w:rPr>
                <w:rFonts w:ascii="宋体" w:hAnsi="宋体" w:cs="Arial"/>
                <w:spacing w:val="-6"/>
                <w:szCs w:val="21"/>
              </w:rPr>
              <w:t>进行监视和评审</w:t>
            </w:r>
            <w:r>
              <w:rPr>
                <w:rFonts w:hint="eastAsia" w:ascii="宋体" w:hAnsi="宋体" w:cs="Arial"/>
                <w:spacing w:val="-6"/>
                <w:szCs w:val="21"/>
              </w:rPr>
              <w:t>：</w:t>
            </w:r>
          </w:p>
          <w:p>
            <w:pPr>
              <w:adjustRightInd w:val="0"/>
              <w:snapToGrid w:val="0"/>
              <w:spacing w:after="0" w:line="360" w:lineRule="auto"/>
              <w:ind w:firstLine="396" w:firstLineChars="200"/>
              <w:textAlignment w:val="baseline"/>
              <w:rPr>
                <w:rFonts w:hint="eastAsia" w:ascii="宋体" w:hAnsi="宋体" w:cs="Arial"/>
                <w:spacing w:val="-6"/>
                <w:szCs w:val="21"/>
              </w:rPr>
            </w:pPr>
            <w:r>
              <w:rPr>
                <w:rFonts w:ascii="宋体" w:hAnsi="宋体" w:cs="Arial"/>
                <w:spacing w:val="-6"/>
                <w:szCs w:val="21"/>
              </w:rPr>
              <w:t>外部因素：</w:t>
            </w:r>
            <w:r>
              <w:rPr>
                <w:rFonts w:hint="eastAsia" w:ascii="宋体" w:hAnsi="宋体"/>
              </w:rPr>
              <w:t>国际、国家、地区和当地的各种法律法规、技术、竞争、文化和社会因素等</w:t>
            </w:r>
            <w:r>
              <w:rPr>
                <w:rFonts w:hint="eastAsia" w:ascii="宋体" w:hAnsi="宋体" w:cs="Arial"/>
                <w:spacing w:val="-6"/>
                <w:szCs w:val="21"/>
              </w:rPr>
              <w:t xml:space="preserve"> </w:t>
            </w:r>
          </w:p>
          <w:p>
            <w:pPr>
              <w:adjustRightInd w:val="0"/>
              <w:snapToGrid w:val="0"/>
              <w:spacing w:after="0" w:line="360" w:lineRule="auto"/>
              <w:ind w:firstLine="396" w:firstLineChars="200"/>
              <w:textAlignment w:val="baseline"/>
              <w:rPr>
                <w:rFonts w:ascii="宋体" w:hAnsi="宋体"/>
              </w:rPr>
            </w:pPr>
            <w:r>
              <w:rPr>
                <w:rFonts w:ascii="宋体" w:hAnsi="宋体" w:cs="Arial"/>
                <w:spacing w:val="-6"/>
                <w:szCs w:val="21"/>
              </w:rPr>
              <w:t>内部因素：</w:t>
            </w:r>
            <w:r>
              <w:rPr>
                <w:rFonts w:hint="eastAsia" w:ascii="宋体" w:hAnsi="宋体"/>
              </w:rPr>
              <w:t>公司的价值观、文化、知识、绩效等相关因素</w:t>
            </w:r>
          </w:p>
          <w:p>
            <w:pPr>
              <w:adjustRightInd w:val="0"/>
              <w:snapToGrid w:val="0"/>
              <w:spacing w:after="0" w:line="360" w:lineRule="auto"/>
              <w:ind w:firstLine="396" w:firstLineChars="200"/>
              <w:textAlignment w:val="baseline"/>
              <w:rPr>
                <w:rFonts w:hint="eastAsia" w:ascii="宋体" w:hAnsi="宋体" w:eastAsia="宋体" w:cs="Arial"/>
                <w:spacing w:val="-6"/>
                <w:szCs w:val="21"/>
                <w:lang w:val="de-DE"/>
              </w:rPr>
            </w:pPr>
            <w:r>
              <w:rPr>
                <w:rFonts w:hint="eastAsia" w:ascii="宋体" w:hAnsi="宋体" w:eastAsia="宋体" w:cs="Arial"/>
                <w:spacing w:val="-6"/>
                <w:szCs w:val="21"/>
                <w:lang w:val="de-DE"/>
              </w:rPr>
              <w:t>企业在其《管理手册》（文件编号：HBDJ-QES-2021）中对组织内外部环境的识别做出了规定。</w:t>
            </w:r>
          </w:p>
          <w:p>
            <w:pPr>
              <w:adjustRightInd w:val="0"/>
              <w:snapToGrid w:val="0"/>
              <w:spacing w:after="0" w:line="360" w:lineRule="auto"/>
              <w:ind w:firstLine="396" w:firstLineChars="200"/>
              <w:textAlignment w:val="baseline"/>
              <w:rPr>
                <w:rFonts w:hint="eastAsia" w:ascii="宋体" w:hAnsi="宋体" w:eastAsia="宋体" w:cs="Arial"/>
                <w:spacing w:val="-6"/>
                <w:szCs w:val="21"/>
                <w:lang w:val="de-DE"/>
              </w:rPr>
            </w:pPr>
            <w:r>
              <w:rPr>
                <w:rFonts w:hint="eastAsia" w:ascii="宋体" w:hAnsi="宋体" w:eastAsia="宋体" w:cs="Arial"/>
                <w:spacing w:val="-6"/>
                <w:szCs w:val="21"/>
                <w:lang w:val="de-DE"/>
              </w:rPr>
              <w:t>企业采用SWTO分析的方法对组织内外部环境进行了识别和评价。提供了《组织内外部环境因素识别表》。对外部环境，从政治环境、法规法规、经济环境、社会文化环境、技术环境、自然环境、竞争力七个方面进行了识别和分析；对内部环境，从企业文化、公司价值观、知识积累、绩效、财务因素、资源因素、人力资源因素和运行因素八各方面进行了识别和分析。</w:t>
            </w:r>
          </w:p>
          <w:p>
            <w:pPr>
              <w:adjustRightInd w:val="0"/>
              <w:snapToGrid w:val="0"/>
              <w:spacing w:after="0" w:line="360" w:lineRule="auto"/>
              <w:ind w:firstLine="396" w:firstLineChars="200"/>
              <w:textAlignment w:val="baseline"/>
              <w:rPr>
                <w:rFonts w:hint="eastAsia" w:ascii="宋体" w:hAnsi="宋体" w:eastAsia="宋体" w:cs="Arial"/>
                <w:spacing w:val="-6"/>
                <w:szCs w:val="21"/>
                <w:lang w:val="de-DE"/>
              </w:rPr>
            </w:pPr>
            <w:r>
              <w:rPr>
                <w:rFonts w:hint="eastAsia" w:ascii="宋体" w:hAnsi="宋体" w:eastAsia="宋体" w:cs="Arial"/>
                <w:spacing w:val="-6"/>
                <w:szCs w:val="21"/>
                <w:lang w:val="de-DE"/>
              </w:rPr>
              <w:t>企业在内审时对组织环境进行复评，结论“总经理描述了目前公司的战略方针、目标并受到影响的内外部关系，虽然目前大气候形式不好，但宏观形势来看，还是有利于企业发展。”</w:t>
            </w:r>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eastAsia="宋体" w:cs="Arial"/>
                <w:spacing w:val="-6"/>
                <w:szCs w:val="21"/>
                <w:lang w:val="de-DE"/>
              </w:rPr>
              <w:t>企业对其内外环境理解比较充分。</w:t>
            </w:r>
          </w:p>
        </w:tc>
        <w:tc>
          <w:tcPr>
            <w:tcW w:w="1342" w:type="dxa"/>
          </w:tcPr>
          <w:p>
            <w:pPr>
              <w:spacing w:after="0" w:line="360" w:lineRule="auto"/>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60" w:type="dxa"/>
          </w:tcPr>
          <w:p>
            <w:pPr>
              <w:spacing w:after="0" w:line="360" w:lineRule="auto"/>
              <w:rPr>
                <w:rFonts w:ascii="宋体" w:hAnsi="宋体" w:cs="Arial"/>
                <w:spacing w:val="-6"/>
                <w:szCs w:val="21"/>
              </w:rPr>
            </w:pPr>
            <w:r>
              <w:rPr>
                <w:rFonts w:hint="eastAsia" w:ascii="宋体" w:hAnsi="宋体" w:cs="Arial"/>
                <w:spacing w:val="-6"/>
                <w:szCs w:val="21"/>
              </w:rPr>
              <w:t>理解相关方的需求和期望</w:t>
            </w:r>
          </w:p>
        </w:tc>
        <w:tc>
          <w:tcPr>
            <w:tcW w:w="1162" w:type="dxa"/>
          </w:tcPr>
          <w:p>
            <w:pPr>
              <w:spacing w:after="0" w:line="360" w:lineRule="auto"/>
              <w:jc w:val="center"/>
              <w:rPr>
                <w:rFonts w:ascii="宋体" w:hAnsi="宋体" w:cs="Arial"/>
                <w:spacing w:val="-6"/>
                <w:szCs w:val="21"/>
              </w:rPr>
            </w:pPr>
            <w:r>
              <w:rPr>
                <w:rFonts w:hint="eastAsia" w:ascii="宋体" w:hAnsi="宋体" w:cs="Arial"/>
                <w:spacing w:val="-6"/>
                <w:szCs w:val="21"/>
              </w:rPr>
              <w:t>Q:4.2</w:t>
            </w:r>
          </w:p>
        </w:tc>
        <w:tc>
          <w:tcPr>
            <w:tcW w:w="10045" w:type="dxa"/>
            <w:vAlign w:val="center"/>
          </w:tcPr>
          <w:p>
            <w:pPr>
              <w:pStyle w:val="13"/>
              <w:numPr>
                <w:ilvl w:val="0"/>
                <w:numId w:val="0"/>
              </w:numPr>
              <w:ind w:leftChars="0"/>
              <w:rPr>
                <w:rFonts w:ascii="Arial" w:hAnsi="Arial" w:cs="Arial"/>
                <w:bCs/>
              </w:rPr>
            </w:pPr>
            <w:r>
              <w:rPr>
                <w:rFonts w:hint="eastAsia" w:ascii="Arial" w:hAnsi="Arial" w:cs="Arial"/>
                <w:bCs/>
              </w:rPr>
              <w:t>企业在其《管理手册》（文件编号：</w:t>
            </w:r>
            <w:r>
              <w:rPr>
                <w:rFonts w:hint="eastAsia" w:ascii="宋体" w:hAnsi="宋体"/>
                <w:spacing w:val="20"/>
                <w:szCs w:val="21"/>
              </w:rPr>
              <w:t>HBDJ-QES-2021</w:t>
            </w:r>
            <w:r>
              <w:rPr>
                <w:rFonts w:hint="eastAsia" w:ascii="Arial" w:hAnsi="Arial" w:cs="Arial"/>
                <w:bCs/>
              </w:rPr>
              <w:t>）中对理解相关方的需求和期望做出了规定，并制定了《对相关方施加影响管理程序》（文件编号：HBDJ-CX－704），对相关方管理工作的职责、工作程序做出了规定。</w:t>
            </w:r>
          </w:p>
          <w:p>
            <w:pPr>
              <w:pStyle w:val="13"/>
              <w:numPr>
                <w:ilvl w:val="0"/>
                <w:numId w:val="0"/>
              </w:numPr>
              <w:ind w:leftChars="0"/>
              <w:rPr>
                <w:rFonts w:ascii="Arial" w:hAnsi="Arial" w:cs="Arial"/>
                <w:bCs/>
              </w:rPr>
            </w:pPr>
            <w:r>
              <w:rPr>
                <w:rFonts w:ascii="宋体" w:hAnsi="宋体" w:cs="Arial"/>
                <w:spacing w:val="-6"/>
                <w:szCs w:val="21"/>
              </w:rPr>
              <w:t>公司能保障公司质量/环境/职业健康安全管理体系运行所需</w:t>
            </w:r>
            <w:r>
              <w:rPr>
                <w:rFonts w:hint="eastAsia" w:ascii="宋体" w:hAnsi="宋体" w:cs="Arial"/>
                <w:spacing w:val="-6"/>
                <w:szCs w:val="21"/>
              </w:rPr>
              <w:t>，</w:t>
            </w:r>
            <w:r>
              <w:rPr>
                <w:rFonts w:hint="eastAsia" w:ascii="宋体" w:hAnsi="宋体"/>
              </w:rPr>
              <w:t>为了推进企业管理与国际标准接轨，提高公司的质量、环境和职业健康安全管理水平，提高服务质量，增强相关方满意，树立公司良好形象，适应绿色运动潮流，控制职业健康安全风险，持续改进发现危险隐患和职业危害，采取有效的预防措施，切实保护全体员工的安全和健康，提高劳动效率，将事故和危险降到最低限度，减少因事故造成的损失，提高职业健康安全绩效，实现企业质量、环境和职业健康安全的社会效益最大化，满足相关方和其它相关方的要求和期望。</w:t>
            </w:r>
          </w:p>
          <w:p>
            <w:pPr>
              <w:rPr>
                <w:rFonts w:ascii="Arial" w:hAnsi="Arial" w:cs="Arial"/>
                <w:bCs/>
              </w:rPr>
            </w:pPr>
            <w:r>
              <w:rPr>
                <w:rFonts w:hint="eastAsia" w:ascii="Arial" w:hAnsi="Arial" w:cs="Arial"/>
                <w:bCs/>
              </w:rPr>
              <w:t>企业提供了《组织的相关方期望或要求识别表》（批准：梁自牛  日期：2021.11.10），识别出的相关方包括：员工、法律法规和监管机构（包括工商局、税务局环保局、供电局、安监局和税务局）、顾客、供方、生产现场周边居民。识别了相关方的要求，如员工的要求和期望：</w:t>
            </w:r>
            <w:r>
              <w:rPr>
                <w:rFonts w:hint="eastAsia" w:ascii="宋体" w:hAnsi="宋体"/>
                <w:szCs w:val="21"/>
              </w:rPr>
              <w:t>1、薪水福利、休假合法合规；2、办公室工作环境优越；3、生产时安全得到保障；4、公司消防设施齐全，不会发生火灾。安监</w:t>
            </w:r>
            <w:r>
              <w:rPr>
                <w:rFonts w:ascii="宋体" w:hAnsi="宋体"/>
                <w:szCs w:val="21"/>
              </w:rPr>
              <w:t>局</w:t>
            </w:r>
            <w:r>
              <w:rPr>
                <w:rFonts w:hint="eastAsia" w:ascii="宋体" w:hAnsi="宋体"/>
                <w:szCs w:val="21"/>
              </w:rPr>
              <w:t>的要求：特种设备定期年检，消防设施齐全。顾客的要求和期望：生产质量满足要求，能够按期交付；生产用物料材质环保；工程交付后能够安全使用，不存在隐患；能够按合同要求提供维护。供方的需求和期望：长期合作，回款及时；及时反馈生产用物料、设备质量、环保、安全信息。生产现场周边居民的需求和期望：生产噪声符合国家限制要求；生产无环境污染；生产垃圾定期清理。表格中</w:t>
            </w:r>
            <w:r>
              <w:rPr>
                <w:rFonts w:hint="eastAsia" w:ascii="Arial" w:hAnsi="Arial" w:cs="Arial"/>
                <w:bCs/>
              </w:rPr>
              <w:t>有收集方法、监视部门/责任人及对策。</w:t>
            </w:r>
          </w:p>
          <w:p>
            <w:pPr>
              <w:pStyle w:val="13"/>
              <w:numPr>
                <w:ilvl w:val="0"/>
                <w:numId w:val="0"/>
              </w:numPr>
              <w:ind w:left="0" w:leftChars="0" w:firstLine="0" w:firstLineChars="0"/>
              <w:rPr>
                <w:rFonts w:ascii="宋体" w:hAnsi="宋体" w:cs="Arial"/>
                <w:spacing w:val="-6"/>
                <w:szCs w:val="21"/>
              </w:rPr>
            </w:pPr>
            <w:r>
              <w:rPr>
                <w:rFonts w:hint="eastAsia" w:ascii="Arial" w:hAnsi="Arial" w:cs="Arial"/>
                <w:bCs/>
              </w:rPr>
              <w:t>企业对其相关方识别准确，对其需求理解较为充分。</w:t>
            </w:r>
          </w:p>
        </w:tc>
        <w:tc>
          <w:tcPr>
            <w:tcW w:w="1342" w:type="dxa"/>
            <w:vAlign w:val="top"/>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hint="eastAsia" w:ascii="Times New Roman" w:hAnsi="Times New Roman" w:eastAsia="宋体" w:cs="Times New Roman"/>
                <w:kern w:val="2"/>
                <w:sz w:val="21"/>
                <w:lang w:val="en-US" w:eastAsia="zh-CN" w:bidi="ar-SA"/>
              </w:rPr>
            </w:pPr>
          </w:p>
        </w:tc>
        <w:tc>
          <w:tcPr>
            <w:tcW w:w="1162" w:type="dxa"/>
            <w:vAlign w:val="top"/>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4.3</w:t>
            </w:r>
          </w:p>
          <w:p>
            <w:pPr>
              <w:spacing w:line="280" w:lineRule="exact"/>
              <w:rPr>
                <w:rFonts w:ascii="Times New Roman" w:hAnsi="Times New Roman" w:eastAsia="宋体" w:cs="Times New Roman"/>
                <w:kern w:val="2"/>
                <w:sz w:val="21"/>
                <w:lang w:val="en-US" w:eastAsia="zh-CN" w:bidi="ar-SA"/>
              </w:rPr>
            </w:pPr>
          </w:p>
        </w:tc>
        <w:tc>
          <w:tcPr>
            <w:tcW w:w="10045" w:type="dxa"/>
            <w:vAlign w:val="center"/>
          </w:tcPr>
          <w:p>
            <w:pPr>
              <w:pStyle w:val="2"/>
              <w:rPr>
                <w:bCs w:val="0"/>
                <w:spacing w:val="0"/>
              </w:rPr>
            </w:pPr>
            <w:r>
              <w:rPr>
                <w:rFonts w:hint="eastAsia"/>
                <w:bCs w:val="0"/>
                <w:spacing w:val="0"/>
              </w:rPr>
              <w:t>企业管理体系范围为：</w:t>
            </w:r>
          </w:p>
          <w:p>
            <w:pPr>
              <w:pStyle w:val="2"/>
              <w:rPr>
                <w:bCs w:val="0"/>
                <w:spacing w:val="0"/>
              </w:rPr>
            </w:pPr>
            <w:r>
              <w:rPr>
                <w:rFonts w:hint="eastAsia"/>
                <w:bCs w:val="0"/>
                <w:spacing w:val="0"/>
              </w:rPr>
              <w:t>Q：人事关系代理，劳务派遣，劳务外包，保洁服务（需许可要求的除外）</w:t>
            </w:r>
          </w:p>
          <w:p>
            <w:pPr>
              <w:pStyle w:val="2"/>
              <w:rPr>
                <w:bCs w:val="0"/>
                <w:spacing w:val="0"/>
              </w:rPr>
            </w:pPr>
            <w:r>
              <w:rPr>
                <w:rFonts w:hint="eastAsia"/>
                <w:bCs w:val="0"/>
                <w:spacing w:val="0"/>
              </w:rPr>
              <w:t>E：人事关系代理，劳务派遣，劳务外包，保洁服务（需许可要求的除外）所涉及场所的相关环境管理活动</w:t>
            </w:r>
          </w:p>
          <w:p>
            <w:pPr>
              <w:pStyle w:val="2"/>
              <w:rPr>
                <w:bCs w:val="0"/>
                <w:spacing w:val="0"/>
              </w:rPr>
            </w:pPr>
            <w:r>
              <w:rPr>
                <w:rFonts w:hint="eastAsia"/>
                <w:bCs w:val="0"/>
                <w:spacing w:val="0"/>
              </w:rPr>
              <w:t>O：人事关系代理，劳务派遣，劳务外包，保洁服务（需许可要求的除外）所涉及场所的相关职业健康安全管理活动</w:t>
            </w:r>
          </w:p>
          <w:p>
            <w:pPr>
              <w:pStyle w:val="2"/>
              <w:rPr>
                <w:bCs w:val="0"/>
                <w:spacing w:val="0"/>
              </w:rPr>
            </w:pPr>
          </w:p>
          <w:p>
            <w:r>
              <w:rPr>
                <w:rFonts w:hint="eastAsia"/>
              </w:rPr>
              <w:t>不适用条款：Q</w:t>
            </w:r>
            <w:r>
              <w:t xml:space="preserve">8.3   </w:t>
            </w:r>
          </w:p>
          <w:p>
            <w:pPr>
              <w:rPr>
                <w:rFonts w:hint="eastAsia" w:ascii="Times New Roman" w:hAnsi="Times New Roman" w:eastAsia="宋体" w:cs="Times New Roman"/>
                <w:kern w:val="2"/>
                <w:sz w:val="21"/>
                <w:lang w:val="en-US" w:eastAsia="zh-CN" w:bidi="ar-SA"/>
              </w:rPr>
            </w:pPr>
            <w:r>
              <w:rPr>
                <w:rFonts w:hint="eastAsia"/>
              </w:rPr>
              <w:t>公司按照劳动法、劳动合同法等相关的法律法规要求和客户要求提供人事关系代理、劳务派遣、劳务承包、保洁等相关服务，服务过程中不涉及设计开发过程，故GB/T19001-2016标准的8.3条款不适用。</w:t>
            </w:r>
          </w:p>
        </w:tc>
        <w:tc>
          <w:tcPr>
            <w:tcW w:w="1342"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hint="eastAsia" w:ascii="Times New Roman" w:hAnsi="Times New Roman" w:eastAsia="宋体" w:cs="Times New Roman"/>
                <w:kern w:val="2"/>
                <w:sz w:val="21"/>
                <w:lang w:val="en-US" w:eastAsia="zh-CN" w:bidi="ar-SA"/>
              </w:rPr>
            </w:pPr>
          </w:p>
        </w:tc>
        <w:tc>
          <w:tcPr>
            <w:tcW w:w="1162" w:type="dxa"/>
            <w:vAlign w:val="top"/>
          </w:tcPr>
          <w:p>
            <w:pPr>
              <w:spacing w:line="28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4.4</w:t>
            </w:r>
          </w:p>
          <w:p>
            <w:pPr>
              <w:spacing w:line="280" w:lineRule="exact"/>
              <w:rPr>
                <w:rFonts w:ascii="Times New Roman" w:hAnsi="Times New Roman" w:eastAsia="宋体" w:cs="Times New Roman"/>
                <w:kern w:val="2"/>
                <w:sz w:val="21"/>
                <w:lang w:val="en-US" w:eastAsia="zh-CN" w:bidi="ar-SA"/>
              </w:rPr>
            </w:pPr>
          </w:p>
        </w:tc>
        <w:tc>
          <w:tcPr>
            <w:tcW w:w="10045"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该公司20</w:t>
            </w:r>
            <w:r>
              <w:rPr>
                <w:rFonts w:ascii="宋体" w:hAnsi="宋体" w:cs="宋体"/>
                <w:szCs w:val="21"/>
              </w:rPr>
              <w:t>21.8</w:t>
            </w:r>
            <w:r>
              <w:rPr>
                <w:rFonts w:hint="eastAsia" w:ascii="宋体" w:hAnsi="宋体" w:cs="宋体"/>
                <w:szCs w:val="21"/>
              </w:rPr>
              <w:t>.10根据自身的实际情况、</w:t>
            </w:r>
            <w:r>
              <w:rPr>
                <w:rFonts w:ascii="宋体" w:hAnsi="宋体" w:cs="宋体"/>
                <w:szCs w:val="21"/>
              </w:rPr>
              <w:t>GB/T19001-2016</w:t>
            </w:r>
            <w:r>
              <w:rPr>
                <w:rFonts w:hint="eastAsia" w:ascii="宋体" w:hAnsi="宋体" w:cs="宋体"/>
                <w:szCs w:val="21"/>
              </w:rPr>
              <w:t>、</w:t>
            </w:r>
            <w:r>
              <w:rPr>
                <w:rFonts w:ascii="宋体" w:hAnsi="宋体" w:cs="宋体"/>
                <w:szCs w:val="21"/>
              </w:rPr>
              <w:t>GB/T24001-2016</w:t>
            </w:r>
            <w:r>
              <w:rPr>
                <w:rFonts w:hint="eastAsia" w:ascii="宋体" w:hAnsi="宋体" w:cs="宋体"/>
                <w:szCs w:val="21"/>
              </w:rPr>
              <w:t>和G</w:t>
            </w:r>
            <w:r>
              <w:rPr>
                <w:rFonts w:ascii="宋体" w:hAnsi="宋体" w:cs="宋体"/>
                <w:szCs w:val="21"/>
              </w:rPr>
              <w:t>B/T45001-2020</w:t>
            </w:r>
            <w:r>
              <w:rPr>
                <w:rFonts w:hint="eastAsia" w:ascii="宋体" w:hAnsi="宋体" w:cs="宋体"/>
                <w:szCs w:val="21"/>
              </w:rPr>
              <w:t>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21</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9</w:t>
            </w:r>
            <w:r>
              <w:rPr>
                <w:rFonts w:hint="eastAsia" w:ascii="宋体" w:hAnsi="宋体" w:cs="宋体"/>
                <w:szCs w:val="21"/>
              </w:rPr>
              <w:t>月管理目标分解及完成情况记录。</w:t>
            </w:r>
          </w:p>
        </w:tc>
        <w:tc>
          <w:tcPr>
            <w:tcW w:w="1342"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hint="eastAsia" w:ascii="Times New Roman" w:hAnsi="Times New Roman" w:eastAsia="宋体" w:cs="Times New Roman"/>
                <w:kern w:val="2"/>
                <w:sz w:val="21"/>
                <w:lang w:val="en-US" w:eastAsia="zh-CN" w:bidi="ar-SA"/>
              </w:rPr>
            </w:pPr>
            <w:r>
              <w:rPr>
                <w:rFonts w:hint="eastAsia" w:ascii="宋体" w:hAnsi="宋体" w:cs="宋体"/>
                <w:szCs w:val="21"/>
              </w:rPr>
              <w:t>--总则</w:t>
            </w:r>
          </w:p>
        </w:tc>
        <w:tc>
          <w:tcPr>
            <w:tcW w:w="1162" w:type="dxa"/>
            <w:vAlign w:val="top"/>
          </w:tcPr>
          <w:p>
            <w:pPr>
              <w:spacing w:line="280" w:lineRule="exact"/>
              <w:rPr>
                <w:rFonts w:ascii="宋体" w:hAnsi="宋体" w:cs="宋体"/>
                <w:szCs w:val="21"/>
              </w:rPr>
            </w:pPr>
            <w:r>
              <w:rPr>
                <w:rFonts w:hint="eastAsia" w:ascii="宋体" w:hAnsi="宋体" w:cs="宋体"/>
                <w:szCs w:val="21"/>
                <w:lang w:val="en-US" w:eastAsia="zh-CN"/>
              </w:rPr>
              <w:t>Q</w:t>
            </w:r>
            <w:r>
              <w:rPr>
                <w:rFonts w:ascii="宋体" w:hAnsi="宋体" w:cs="宋体"/>
                <w:szCs w:val="21"/>
              </w:rPr>
              <w:t xml:space="preserve"> </w:t>
            </w:r>
            <w:r>
              <w:rPr>
                <w:rFonts w:hint="eastAsia" w:ascii="宋体" w:hAnsi="宋体" w:cs="宋体"/>
                <w:szCs w:val="21"/>
              </w:rPr>
              <w:t>5.1</w:t>
            </w:r>
          </w:p>
          <w:p>
            <w:pPr>
              <w:spacing w:line="280" w:lineRule="exact"/>
              <w:rPr>
                <w:rFonts w:ascii="Times New Roman" w:hAnsi="Times New Roman" w:eastAsia="宋体" w:cs="Times New Roman"/>
                <w:kern w:val="2"/>
                <w:sz w:val="21"/>
                <w:lang w:val="en-US" w:eastAsia="zh-CN" w:bidi="ar-SA"/>
              </w:rPr>
            </w:pPr>
          </w:p>
        </w:tc>
        <w:tc>
          <w:tcPr>
            <w:tcW w:w="10045" w:type="dxa"/>
            <w:vAlign w:val="center"/>
          </w:tcPr>
          <w:p>
            <w:pPr>
              <w:spacing w:line="280" w:lineRule="exact"/>
              <w:ind w:firstLine="420" w:firstLineChars="200"/>
              <w:rPr>
                <w:rFonts w:ascii="宋体" w:hAnsi="宋体" w:cs="宋体"/>
                <w:szCs w:val="21"/>
              </w:rPr>
            </w:pPr>
            <w:r>
              <w:rPr>
                <w:rFonts w:hint="eastAsia" w:ascii="宋体" w:hAnsi="宋体" w:cs="宋体"/>
                <w:szCs w:val="21"/>
              </w:rPr>
              <w:t>公</w:t>
            </w:r>
            <w:r>
              <w:rPr>
                <w:rFonts w:hint="eastAsia"/>
                <w:bCs/>
                <w:sz w:val="24"/>
                <w:szCs w:val="24"/>
              </w:rPr>
              <w:t>司总经理</w:t>
            </w:r>
            <w:r>
              <w:rPr>
                <w:rFonts w:hint="eastAsia" w:ascii="宋体" w:hAnsi="宋体" w:cs="宋体"/>
                <w:szCs w:val="21"/>
              </w:rPr>
              <w:t>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ascii="宋体" w:hAnsi="宋体" w:cs="宋体"/>
                <w:szCs w:val="21"/>
              </w:rPr>
              <w:t>承诺基本实现，没有违反的情况发生。</w:t>
            </w:r>
          </w:p>
        </w:tc>
        <w:tc>
          <w:tcPr>
            <w:tcW w:w="1342"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rFonts w:hint="eastAsia" w:ascii="Times New Roman" w:hAnsi="Times New Roman" w:eastAsia="宋体" w:cs="Times New Roman"/>
                <w:kern w:val="2"/>
                <w:sz w:val="21"/>
                <w:lang w:val="en-US" w:eastAsia="zh-CN" w:bidi="ar-SA"/>
              </w:rPr>
            </w:pPr>
            <w:r>
              <w:rPr>
                <w:rFonts w:hint="eastAsia" w:ascii="宋体" w:hAnsi="宋体" w:cs="宋体"/>
                <w:szCs w:val="21"/>
              </w:rPr>
              <w:t>沟通方针</w:t>
            </w:r>
          </w:p>
        </w:tc>
        <w:tc>
          <w:tcPr>
            <w:tcW w:w="1162" w:type="dxa"/>
            <w:vAlign w:val="top"/>
          </w:tcPr>
          <w:p>
            <w:pPr>
              <w:spacing w:line="280" w:lineRule="exact"/>
              <w:rPr>
                <w:rFonts w:ascii="宋体" w:hAnsi="宋体" w:cs="宋体"/>
                <w:szCs w:val="21"/>
              </w:rPr>
            </w:pPr>
            <w:r>
              <w:rPr>
                <w:rFonts w:hint="eastAsia" w:ascii="宋体" w:hAnsi="宋体" w:cs="宋体"/>
                <w:szCs w:val="21"/>
                <w:lang w:val="en-US" w:eastAsia="zh-CN"/>
              </w:rPr>
              <w:t>Q</w:t>
            </w:r>
            <w:r>
              <w:rPr>
                <w:rFonts w:ascii="宋体" w:hAnsi="宋体" w:cs="宋体"/>
                <w:szCs w:val="21"/>
              </w:rPr>
              <w:t xml:space="preserve"> </w:t>
            </w:r>
            <w:r>
              <w:rPr>
                <w:rFonts w:hint="eastAsia" w:ascii="宋体" w:hAnsi="宋体" w:cs="宋体"/>
                <w:szCs w:val="21"/>
              </w:rPr>
              <w:t>5.2</w:t>
            </w:r>
          </w:p>
          <w:p>
            <w:pPr>
              <w:snapToGrid w:val="0"/>
              <w:spacing w:line="280" w:lineRule="exact"/>
              <w:rPr>
                <w:szCs w:val="21"/>
              </w:rPr>
            </w:pPr>
          </w:p>
          <w:p>
            <w:pPr>
              <w:spacing w:line="280" w:lineRule="exact"/>
              <w:rPr>
                <w:rFonts w:ascii="宋体" w:hAnsi="宋体" w:cs="宋体"/>
                <w:szCs w:val="21"/>
              </w:rPr>
            </w:pPr>
          </w:p>
          <w:p>
            <w:pPr>
              <w:spacing w:line="280" w:lineRule="exact"/>
              <w:rPr>
                <w:rFonts w:ascii="Times New Roman" w:hAnsi="Times New Roman" w:eastAsia="宋体" w:cs="Times New Roman"/>
                <w:kern w:val="2"/>
                <w:sz w:val="21"/>
                <w:lang w:val="en-US" w:eastAsia="zh-CN" w:bidi="ar-SA"/>
              </w:rPr>
            </w:pPr>
          </w:p>
        </w:tc>
        <w:tc>
          <w:tcPr>
            <w:tcW w:w="10045"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该公司管理方针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诚信至上，质量为主，优质高效；节能降耗，防治污染，保护环境；安全第一，保障健康，减少风险；</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全员参与，遵守法规，持续改进。</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w:t>
            </w:r>
          </w:p>
          <w:p>
            <w:pPr>
              <w:spacing w:line="280" w:lineRule="exact"/>
              <w:ind w:firstLine="420" w:firstLineChars="200"/>
              <w:rPr>
                <w:rFonts w:ascii="宋体" w:hAnsi="宋体" w:cs="宋体"/>
                <w:szCs w:val="21"/>
              </w:rPr>
            </w:pPr>
            <w:r>
              <w:rPr>
                <w:rFonts w:hint="eastAsia" w:ascii="宋体" w:hAnsi="宋体" w:cs="宋体"/>
                <w:szCs w:val="21"/>
              </w:rPr>
              <w:t>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1342"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hint="eastAsia" w:ascii="宋体" w:hAnsi="宋体" w:eastAsia="宋体" w:cs="宋体"/>
                <w:kern w:val="2"/>
                <w:sz w:val="21"/>
                <w:szCs w:val="21"/>
                <w:lang w:val="en-US" w:eastAsia="zh-CN" w:bidi="ar-SA"/>
              </w:rPr>
            </w:pPr>
          </w:p>
        </w:tc>
        <w:tc>
          <w:tcPr>
            <w:tcW w:w="1162" w:type="dxa"/>
            <w:vAlign w:val="top"/>
          </w:tcPr>
          <w:p>
            <w:pPr>
              <w:spacing w:line="280" w:lineRule="exact"/>
              <w:rPr>
                <w:rFonts w:ascii="Times New Roman" w:hAnsi="Times New Roman" w:eastAsia="宋体" w:cs="Times New Roman"/>
                <w:kern w:val="2"/>
                <w:sz w:val="21"/>
                <w:lang w:val="en-US" w:eastAsia="zh-CN" w:bidi="ar-SA"/>
              </w:rPr>
            </w:pPr>
            <w:r>
              <w:rPr>
                <w:rFonts w:hint="eastAsia" w:ascii="宋体" w:cs="宋体"/>
                <w:szCs w:val="21"/>
                <w:lang w:val="en-US" w:eastAsia="zh-CN"/>
              </w:rPr>
              <w:t>Q</w:t>
            </w:r>
            <w:r>
              <w:rPr>
                <w:rFonts w:ascii="宋体" w:cs="宋体"/>
                <w:szCs w:val="21"/>
              </w:rPr>
              <w:t xml:space="preserve"> 5.3</w:t>
            </w:r>
          </w:p>
        </w:tc>
        <w:tc>
          <w:tcPr>
            <w:tcW w:w="10045" w:type="dxa"/>
            <w:vAlign w:val="center"/>
          </w:tcPr>
          <w:p>
            <w:pPr>
              <w:spacing w:line="240" w:lineRule="auto"/>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hint="eastAsia"/>
                <w:lang w:val="en-US" w:eastAsia="zh-CN"/>
              </w:rPr>
              <w:t>顾涛</w:t>
            </w:r>
            <w:r>
              <w:rPr>
                <w:rFonts w:hint="eastAsia"/>
              </w:rPr>
              <w:t>为管理体系的管理者代表。其职责和权限规定如下：</w:t>
            </w:r>
          </w:p>
          <w:p>
            <w:pPr>
              <w:spacing w:line="240" w:lineRule="auto"/>
              <w:ind w:firstLine="420" w:firstLineChars="200"/>
              <w:rPr>
                <w:rFonts w:hint="eastAsia"/>
              </w:rPr>
            </w:pPr>
            <w:r>
              <w:rPr>
                <w:rFonts w:hint="eastAsia"/>
              </w:rPr>
              <w:t>确保质量/环境和职业健康安全管理体系的建立、实施和保持；向总经理报告质量/环境和职业健康安全管理体系的业绩和任何改进的需求；采取适当措施，在整个组织内提高顾客要求的意识得到有效落实；负责质量/环境和职业健康安全管理体系的有关事宜与外部联络，协调内部体系的一切问题；确保管理体系相互协调、完整。</w:t>
            </w:r>
          </w:p>
          <w:p>
            <w:pPr>
              <w:spacing w:line="240" w:lineRule="auto"/>
              <w:ind w:firstLine="420" w:firstLineChars="200"/>
              <w:rPr>
                <w:rFonts w:hint="eastAsia" w:ascii="Times New Roman" w:hAnsi="Times New Roman" w:eastAsia="宋体" w:cs="Times New Roman"/>
                <w:bCs/>
                <w:kern w:val="2"/>
                <w:sz w:val="21"/>
                <w:lang w:val="en-US" w:eastAsia="zh-CN" w:bidi="ar-SA"/>
              </w:rPr>
            </w:pPr>
            <w:r>
              <w:rPr>
                <w:rFonts w:hint="eastAsia"/>
              </w:rPr>
              <w:t>询问管代</w:t>
            </w:r>
            <w:r>
              <w:rPr>
                <w:rFonts w:hint="eastAsia"/>
                <w:lang w:val="en-US" w:eastAsia="zh-CN"/>
              </w:rPr>
              <w:t>顾涛</w:t>
            </w:r>
            <w:r>
              <w:rPr>
                <w:rFonts w:hint="eastAsia"/>
              </w:rPr>
              <w:t>职责回答正确。</w:t>
            </w:r>
          </w:p>
        </w:tc>
        <w:tc>
          <w:tcPr>
            <w:tcW w:w="1342"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hint="eastAsia" w:ascii="宋体" w:hAnsi="宋体" w:eastAsia="宋体" w:cs="宋体"/>
                <w:kern w:val="2"/>
                <w:sz w:val="21"/>
                <w:szCs w:val="21"/>
                <w:lang w:val="en-US" w:eastAsia="zh-CN" w:bidi="ar-SA"/>
              </w:rPr>
            </w:pPr>
          </w:p>
        </w:tc>
        <w:tc>
          <w:tcPr>
            <w:tcW w:w="1162" w:type="dxa"/>
            <w:vAlign w:val="top"/>
          </w:tcPr>
          <w:p>
            <w:pPr>
              <w:spacing w:line="280" w:lineRule="exact"/>
              <w:rPr>
                <w:rFonts w:hint="default" w:ascii="宋体" w:cs="宋体"/>
                <w:szCs w:val="21"/>
                <w:lang w:val="en-US" w:eastAsia="zh-CN"/>
              </w:rPr>
            </w:pPr>
            <w:r>
              <w:rPr>
                <w:rFonts w:hint="eastAsia" w:ascii="宋体" w:cs="宋体"/>
                <w:szCs w:val="21"/>
                <w:lang w:val="en-US" w:eastAsia="zh-CN"/>
              </w:rPr>
              <w:t>Q6.1</w:t>
            </w:r>
          </w:p>
        </w:tc>
        <w:tc>
          <w:tcPr>
            <w:tcW w:w="10045" w:type="dxa"/>
            <w:vAlign w:val="center"/>
          </w:tcPr>
          <w:p>
            <w:r>
              <w:rPr>
                <w:rFonts w:hint="eastAsia"/>
              </w:rPr>
              <w:t>企业在《管理手册》中对风险和机遇的管控进行了规定。</w:t>
            </w:r>
          </w:p>
          <w:p>
            <w:r>
              <w:rPr>
                <w:rFonts w:hint="eastAsia"/>
              </w:rPr>
              <w:t xml:space="preserve">查见了《风险和机遇清单》（编制人：综合管理部 </w:t>
            </w:r>
            <w:r>
              <w:t xml:space="preserve">  </w:t>
            </w:r>
            <w:r>
              <w:rPr>
                <w:rFonts w:hint="eastAsia"/>
              </w:rPr>
              <w:t xml:space="preserve">审核人：梁自牛  </w:t>
            </w:r>
            <w:r>
              <w:t xml:space="preserve"> </w:t>
            </w:r>
            <w:r>
              <w:rPr>
                <w:rFonts w:hint="eastAsia"/>
              </w:rPr>
              <w:t>审核日期： 2021.11.10），表格中有风险和机遇主源、风险/机遇描述、涉及过程/活动，以及（建议）应对措施：</w:t>
            </w:r>
          </w:p>
          <w:p>
            <w:pPr>
              <w:pStyle w:val="2"/>
              <w:numPr>
                <w:ilvl w:val="0"/>
                <w:numId w:val="1"/>
              </w:numPr>
              <w:rPr>
                <w:sz w:val="24"/>
              </w:rPr>
            </w:pPr>
            <w:r>
              <w:rPr>
                <w:rFonts w:hint="eastAsia"/>
                <w:sz w:val="24"/>
              </w:rPr>
              <w:t>风险来源：招聘流程中的审核与管控，</w:t>
            </w:r>
          </w:p>
          <w:p>
            <w:pPr>
              <w:pStyle w:val="2"/>
              <w:rPr>
                <w:sz w:val="24"/>
              </w:rPr>
            </w:pPr>
            <w:r>
              <w:rPr>
                <w:rFonts w:hint="eastAsia"/>
                <w:sz w:val="24"/>
              </w:rPr>
              <w:t>风险/机遇描述：未严格按照招聘程序及招聘要求，对录用者的年龄、背景及身份信息疏于核查，因此而为企业带来的法律风险及安全隐患。</w:t>
            </w:r>
          </w:p>
          <w:p>
            <w:pPr>
              <w:pStyle w:val="2"/>
              <w:rPr>
                <w:sz w:val="24"/>
              </w:rPr>
            </w:pPr>
            <w:r>
              <w:rPr>
                <w:rFonts w:hint="eastAsia"/>
                <w:sz w:val="24"/>
              </w:rPr>
              <w:t>应对措施：1、对所有应聘人员的年龄、背景及身份信息进行详细了解与核实，确保被录用人员提供的个人资料真实可靠；2、对不能满足招聘条件的坚决不能录用，杜绝因熟人介绍即放宽招聘条件为企业带来的潜在法律风险。</w:t>
            </w:r>
          </w:p>
          <w:p>
            <w:pPr>
              <w:pStyle w:val="2"/>
              <w:numPr>
                <w:ilvl w:val="0"/>
                <w:numId w:val="1"/>
              </w:numPr>
              <w:rPr>
                <w:sz w:val="24"/>
              </w:rPr>
            </w:pPr>
            <w:r>
              <w:rPr>
                <w:rFonts w:hint="eastAsia"/>
                <w:sz w:val="24"/>
              </w:rPr>
              <w:t>风险来源：培训流程中的方式方法</w:t>
            </w:r>
          </w:p>
          <w:p>
            <w:pPr>
              <w:pStyle w:val="2"/>
              <w:ind w:left="420"/>
              <w:rPr>
                <w:color w:val="000000"/>
                <w:sz w:val="24"/>
              </w:rPr>
            </w:pPr>
            <w:r>
              <w:rPr>
                <w:rFonts w:hint="eastAsia"/>
                <w:sz w:val="24"/>
              </w:rPr>
              <w:t>风险描述：</w:t>
            </w:r>
            <w:r>
              <w:rPr>
                <w:rFonts w:hint="eastAsia"/>
                <w:color w:val="000000"/>
                <w:sz w:val="24"/>
              </w:rPr>
              <w:t>培训过程流于形式，员工无法获取真实的理论与实操知识，使企业内部的人力资源需求无法得到满足。</w:t>
            </w:r>
          </w:p>
          <w:p>
            <w:pPr>
              <w:rPr>
                <w:sz w:val="24"/>
              </w:rPr>
            </w:pPr>
            <w:r>
              <w:rPr>
                <w:rFonts w:hint="eastAsia"/>
                <w:color w:val="000000"/>
                <w:sz w:val="24"/>
              </w:rPr>
              <w:t>应对措施：1、新工入职前的企业介绍、规章制度、公司福利、安全生产等内容的详细解读，使员工在入职前就充分了解公司现况及掌握并获取相关上岗知识与信息；2、各部门年度培训计划内容的督促落实；3、“四新”员工岗前的培训监督。</w:t>
            </w:r>
          </w:p>
          <w:p>
            <w:pPr>
              <w:pStyle w:val="2"/>
              <w:numPr>
                <w:ilvl w:val="0"/>
                <w:numId w:val="1"/>
              </w:numPr>
            </w:pPr>
            <w:r>
              <w:rPr>
                <w:rFonts w:hint="eastAsia"/>
              </w:rPr>
              <w:t>风险来源：</w:t>
            </w:r>
            <w:r>
              <w:rPr>
                <w:rFonts w:hint="eastAsia"/>
                <w:color w:val="000000"/>
                <w:sz w:val="24"/>
              </w:rPr>
              <w:t>劳保用品的发放与管理</w:t>
            </w:r>
          </w:p>
          <w:p>
            <w:pPr>
              <w:pStyle w:val="2"/>
              <w:ind w:left="420"/>
              <w:rPr>
                <w:color w:val="000000"/>
                <w:sz w:val="24"/>
              </w:rPr>
            </w:pPr>
            <w:r>
              <w:rPr>
                <w:rFonts w:hint="eastAsia"/>
                <w:color w:val="000000"/>
                <w:sz w:val="24"/>
              </w:rPr>
              <w:t>风险描述：劳保用品发放的及时与否，是对安全生产及产品与服务质量产生直接影响的主要因素之一。</w:t>
            </w:r>
          </w:p>
          <w:p>
            <w:pPr>
              <w:pStyle w:val="2"/>
              <w:ind w:left="420"/>
            </w:pPr>
            <w:r>
              <w:rPr>
                <w:rFonts w:hint="eastAsia"/>
                <w:color w:val="000000"/>
                <w:sz w:val="24"/>
              </w:rPr>
              <w:t>应对措施：劳保用品及生产防护用品的及时提供，是预防安全事故的发生及保障产品与服务质量的关键。</w:t>
            </w:r>
          </w:p>
          <w:p>
            <w:pPr>
              <w:pStyle w:val="2"/>
              <w:numPr>
                <w:ilvl w:val="0"/>
                <w:numId w:val="1"/>
              </w:numPr>
            </w:pPr>
            <w:r>
              <w:rPr>
                <w:rFonts w:hint="eastAsia"/>
                <w:color w:val="000000"/>
                <w:sz w:val="24"/>
              </w:rPr>
              <w:t>风险来源：安全生产中的隐患排查与治理</w:t>
            </w:r>
          </w:p>
          <w:p>
            <w:pPr>
              <w:pStyle w:val="2"/>
              <w:ind w:left="420"/>
              <w:rPr>
                <w:color w:val="000000"/>
                <w:sz w:val="24"/>
              </w:rPr>
            </w:pPr>
            <w:r>
              <w:rPr>
                <w:rFonts w:hint="eastAsia"/>
                <w:color w:val="000000"/>
                <w:sz w:val="24"/>
              </w:rPr>
              <w:t>风险描述：企业内部的安全生产隐患未及时得到鉴别、排查与整改而最终导致安全生产事故的发生。</w:t>
            </w:r>
          </w:p>
          <w:p>
            <w:pPr>
              <w:pStyle w:val="2"/>
              <w:ind w:left="420"/>
              <w:rPr>
                <w:color w:val="000000"/>
                <w:sz w:val="24"/>
              </w:rPr>
            </w:pPr>
            <w:r>
              <w:rPr>
                <w:rFonts w:hint="eastAsia"/>
                <w:color w:val="000000"/>
                <w:sz w:val="24"/>
              </w:rPr>
              <w:t>应对措施：定期对生产环境及工作岗位进行走访与排查，及时发现安全设备的缺失与故障、管理人员的违章指挥及一线员工的操作陋习，为企业内部的安全生产提供保障。</w:t>
            </w:r>
          </w:p>
          <w:p>
            <w:pPr>
              <w:pStyle w:val="2"/>
              <w:ind w:left="420" w:leftChars="0"/>
              <w:rPr>
                <w:rFonts w:hint="eastAsia" w:ascii="Times New Roman" w:hAnsi="Times New Roman" w:eastAsia="宋体" w:cs="Times New Roman"/>
                <w:bCs/>
                <w:spacing w:val="10"/>
                <w:kern w:val="2"/>
                <w:sz w:val="21"/>
                <w:lang w:val="en-US" w:eastAsia="zh-CN" w:bidi="ar-SA"/>
              </w:rPr>
            </w:pPr>
            <w:r>
              <w:rPr>
                <w:rFonts w:hint="eastAsia"/>
                <w:color w:val="000000"/>
                <w:sz w:val="24"/>
              </w:rPr>
              <w:t>企业风险和机遇识别较为充分，措施较为得当。</w:t>
            </w:r>
          </w:p>
        </w:tc>
        <w:tc>
          <w:tcPr>
            <w:tcW w:w="1342"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60" w:type="dxa"/>
          </w:tcPr>
          <w:p>
            <w:pPr>
              <w:spacing w:after="0" w:line="360" w:lineRule="auto"/>
            </w:pPr>
            <w:r>
              <w:rPr>
                <w:rFonts w:hint="eastAsia" w:ascii="宋体" w:hAnsi="宋体" w:cs="Arial"/>
                <w:spacing w:val="-6"/>
                <w:szCs w:val="21"/>
              </w:rPr>
              <w:t>管理目标及其实现的策划</w:t>
            </w:r>
          </w:p>
        </w:tc>
        <w:tc>
          <w:tcPr>
            <w:tcW w:w="1162" w:type="dxa"/>
          </w:tcPr>
          <w:p>
            <w:pPr>
              <w:spacing w:after="0" w:line="360" w:lineRule="auto"/>
              <w:jc w:val="center"/>
              <w:rPr>
                <w:rFonts w:ascii="宋体" w:hAnsi="宋体" w:cs="Arial"/>
                <w:spacing w:val="-6"/>
                <w:szCs w:val="21"/>
              </w:rPr>
            </w:pPr>
            <w:r>
              <w:rPr>
                <w:rFonts w:hint="eastAsia" w:ascii="宋体" w:hAnsi="宋体" w:cs="Arial"/>
                <w:spacing w:val="-6"/>
                <w:szCs w:val="21"/>
              </w:rPr>
              <w:t>Q:6.2</w:t>
            </w:r>
          </w:p>
        </w:tc>
        <w:tc>
          <w:tcPr>
            <w:tcW w:w="10045" w:type="dxa"/>
          </w:tcPr>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管理目标：</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项目按时完成率90%</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lang w:val="de-DE"/>
              </w:rPr>
              <w:t>顾客满意度</w:t>
            </w:r>
            <w:r>
              <w:rPr>
                <w:rFonts w:hint="eastAsia" w:ascii="宋体" w:hAnsi="宋体" w:cs="Arial"/>
                <w:spacing w:val="-6"/>
                <w:szCs w:val="21"/>
              </w:rPr>
              <w:t>≥95%</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协助用工单位岗前培训及时率100%</w:t>
            </w:r>
          </w:p>
          <w:p>
            <w:pPr>
              <w:adjustRightInd w:val="0"/>
              <w:snapToGrid w:val="0"/>
              <w:spacing w:after="0" w:line="360" w:lineRule="auto"/>
              <w:ind w:right="105" w:rightChars="50" w:firstLine="396" w:firstLineChars="200"/>
              <w:textAlignment w:val="baseline"/>
              <w:rPr>
                <w:rFonts w:ascii="宋体" w:hAnsi="宋体" w:cs="Arial"/>
                <w:spacing w:val="-6"/>
                <w:szCs w:val="21"/>
                <w:lang w:val="de-DE"/>
              </w:rPr>
            </w:pPr>
            <w:r>
              <w:rPr>
                <w:rFonts w:hint="eastAsia" w:ascii="宋体" w:hAnsi="宋体" w:cs="Arial"/>
                <w:spacing w:val="-6"/>
                <w:szCs w:val="21"/>
                <w:lang w:val="de-DE"/>
              </w:rPr>
              <w:t>环保安全目标：</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环境污染发生次数为0</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职业健康安全总目标指标</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人员工伤事故为0</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火灾发生事故为零</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 xml:space="preserve"> 提供了本公司的环境和安全管理方案和控制措施。</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基本符合。</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查见质量\环境\职业健康安全目标分解考核表，2021年度1--12月的目标完成情况进行了评价，各部门目标均已完成。</w:t>
            </w:r>
          </w:p>
        </w:tc>
        <w:tc>
          <w:tcPr>
            <w:tcW w:w="1342" w:type="dxa"/>
          </w:tcPr>
          <w:p>
            <w:pPr>
              <w:spacing w:after="0"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60" w:type="dxa"/>
            <w:vAlign w:val="top"/>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hint="default" w:ascii="宋体" w:hAnsi="宋体" w:eastAsia="宋体" w:cs="宋体"/>
                <w:kern w:val="2"/>
                <w:sz w:val="21"/>
                <w:szCs w:val="21"/>
                <w:lang w:val="en-US" w:eastAsia="zh-CN" w:bidi="ar-SA"/>
              </w:rPr>
            </w:pPr>
          </w:p>
        </w:tc>
        <w:tc>
          <w:tcPr>
            <w:tcW w:w="1162" w:type="dxa"/>
            <w:vAlign w:val="top"/>
          </w:tcPr>
          <w:p>
            <w:pPr>
              <w:spacing w:line="280" w:lineRule="exact"/>
              <w:rPr>
                <w:szCs w:val="21"/>
              </w:rPr>
            </w:pPr>
            <w:r>
              <w:rPr>
                <w:rFonts w:hint="eastAsia"/>
                <w:szCs w:val="21"/>
              </w:rPr>
              <w:t>Q6.3</w:t>
            </w:r>
          </w:p>
          <w:p>
            <w:pPr>
              <w:pStyle w:val="2"/>
              <w:rPr>
                <w:rFonts w:hint="default" w:ascii="Times New Roman" w:hAnsi="Times New Roman" w:eastAsia="宋体" w:cs="Times New Roman"/>
                <w:bCs/>
                <w:spacing w:val="10"/>
                <w:kern w:val="2"/>
                <w:sz w:val="21"/>
                <w:lang w:val="en-US" w:eastAsia="zh-CN" w:bidi="ar-SA"/>
              </w:rPr>
            </w:pPr>
          </w:p>
        </w:tc>
        <w:tc>
          <w:tcPr>
            <w:tcW w:w="10045" w:type="dxa"/>
            <w:vAlign w:val="center"/>
          </w:tcPr>
          <w:p>
            <w:pPr>
              <w:autoSpaceDE w:val="0"/>
              <w:autoSpaceDN w:val="0"/>
              <w:adjustRightInd w:val="0"/>
              <w:spacing w:line="24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公司目前对管理体系暂无变更。</w:t>
            </w:r>
          </w:p>
        </w:tc>
        <w:tc>
          <w:tcPr>
            <w:tcW w:w="1342" w:type="dxa"/>
          </w:tcPr>
          <w:p>
            <w:pPr>
              <w:spacing w:after="0"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0" w:type="dxa"/>
          </w:tcPr>
          <w:p>
            <w:pPr>
              <w:spacing w:after="0" w:line="360" w:lineRule="auto"/>
              <w:rPr>
                <w:rFonts w:ascii="宋体" w:hAnsi="宋体" w:cs="Arial"/>
                <w:spacing w:val="-6"/>
                <w:szCs w:val="21"/>
              </w:rPr>
            </w:pPr>
            <w:r>
              <w:rPr>
                <w:rFonts w:hint="eastAsia" w:ascii="宋体" w:hAnsi="宋体" w:cs="Arial"/>
                <w:spacing w:val="-6"/>
                <w:szCs w:val="21"/>
              </w:rPr>
              <w:t>资源总则</w:t>
            </w:r>
          </w:p>
        </w:tc>
        <w:tc>
          <w:tcPr>
            <w:tcW w:w="1162" w:type="dxa"/>
          </w:tcPr>
          <w:p>
            <w:pPr>
              <w:spacing w:after="0" w:line="360" w:lineRule="auto"/>
              <w:jc w:val="center"/>
              <w:rPr>
                <w:rFonts w:hint="default" w:ascii="宋体" w:hAnsi="宋体" w:eastAsia="宋体" w:cs="Arial"/>
                <w:spacing w:val="-6"/>
                <w:szCs w:val="21"/>
                <w:lang w:val="en-US" w:eastAsia="zh-CN"/>
              </w:rPr>
            </w:pPr>
            <w:r>
              <w:rPr>
                <w:rFonts w:hint="eastAsia" w:ascii="宋体" w:hAnsi="宋体" w:cs="Arial"/>
                <w:spacing w:val="-6"/>
                <w:szCs w:val="21"/>
              </w:rPr>
              <w:t>Q:7.1</w:t>
            </w:r>
            <w:r>
              <w:rPr>
                <w:rFonts w:hint="eastAsia" w:ascii="宋体" w:hAnsi="宋体" w:cs="Arial"/>
                <w:spacing w:val="-6"/>
                <w:szCs w:val="21"/>
                <w:lang w:val="en-US" w:eastAsia="zh-CN"/>
              </w:rPr>
              <w:t>.1</w:t>
            </w:r>
          </w:p>
        </w:tc>
        <w:tc>
          <w:tcPr>
            <w:tcW w:w="10045" w:type="dxa"/>
          </w:tcPr>
          <w:p>
            <w:pPr>
              <w:adjustRightInd w:val="0"/>
              <w:snapToGrid w:val="0"/>
              <w:spacing w:after="0" w:line="360" w:lineRule="auto"/>
              <w:ind w:firstLine="420" w:firstLineChars="200"/>
              <w:textAlignment w:val="baseline"/>
              <w:rPr>
                <w:rFonts w:ascii="宋体" w:hAnsi="宋体" w:cs="Arial"/>
                <w:spacing w:val="-6"/>
                <w:szCs w:val="21"/>
                <w:lang w:val="de-DE"/>
              </w:rPr>
            </w:pPr>
            <w:bookmarkStart w:id="2" w:name="组织名称"/>
            <w:r>
              <w:rPr>
                <w:szCs w:val="21"/>
              </w:rPr>
              <w:t>湖北顶洁企业管理有限公司</w:t>
            </w:r>
            <w:bookmarkEnd w:id="2"/>
            <w:r>
              <w:rPr>
                <w:rFonts w:hint="eastAsia" w:ascii="宋体" w:hAnsi="宋体" w:cs="Arial"/>
                <w:spacing w:val="-6"/>
                <w:szCs w:val="21"/>
              </w:rPr>
              <w:t>成立于2020年12月08日</w:t>
            </w:r>
            <w:r>
              <w:rPr>
                <w:rFonts w:hint="eastAsia" w:ascii="宋体" w:hAnsi="宋体" w:cs="Arial"/>
                <w:spacing w:val="-6"/>
                <w:szCs w:val="21"/>
                <w:lang w:val="de-DE"/>
              </w:rPr>
              <w:t>；注册资金</w:t>
            </w:r>
            <w:r>
              <w:rPr>
                <w:rFonts w:hint="eastAsia" w:ascii="宋体" w:hAnsi="宋体" w:cs="Arial"/>
                <w:spacing w:val="-6"/>
                <w:szCs w:val="21"/>
              </w:rPr>
              <w:t>五百</w:t>
            </w:r>
            <w:r>
              <w:rPr>
                <w:rFonts w:hint="eastAsia" w:ascii="宋体" w:hAnsi="宋体" w:cs="Arial"/>
                <w:spacing w:val="-6"/>
                <w:szCs w:val="21"/>
                <w:lang w:val="de-DE"/>
              </w:rPr>
              <w:t>万元；</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lang w:val="de-DE"/>
              </w:rPr>
              <w:t>现有员工</w:t>
            </w:r>
            <w:r>
              <w:rPr>
                <w:rFonts w:hint="eastAsia" w:ascii="宋体" w:hAnsi="宋体" w:cs="Arial"/>
                <w:spacing w:val="-6"/>
                <w:szCs w:val="21"/>
              </w:rPr>
              <w:t>25</w:t>
            </w:r>
            <w:r>
              <w:rPr>
                <w:rFonts w:hint="eastAsia" w:ascii="宋体" w:hAnsi="宋体" w:cs="Arial"/>
                <w:spacing w:val="-6"/>
                <w:szCs w:val="21"/>
                <w:lang w:val="de-DE"/>
              </w:rPr>
              <w:t>人，</w:t>
            </w:r>
            <w:r>
              <w:rPr>
                <w:rFonts w:hint="eastAsia" w:ascii="宋体" w:hAnsi="宋体" w:cs="Arial"/>
                <w:spacing w:val="-6"/>
                <w:szCs w:val="21"/>
              </w:rPr>
              <w:t>管理人员、财务人员能满足生产要求；</w:t>
            </w:r>
          </w:p>
          <w:p>
            <w:pPr>
              <w:pStyle w:val="2"/>
              <w:ind w:firstLine="396" w:firstLineChars="200"/>
            </w:pPr>
            <w:r>
              <w:rPr>
                <w:rFonts w:hint="eastAsia" w:ascii="宋体" w:hAnsi="宋体" w:cs="Arial"/>
                <w:spacing w:val="-6"/>
                <w:szCs w:val="21"/>
              </w:rPr>
              <w:t>公司主要设备为皮卡车、办公桌，笔记本电脑</w:t>
            </w:r>
          </w:p>
          <w:p>
            <w:pPr>
              <w:adjustRightInd w:val="0"/>
              <w:snapToGrid w:val="0"/>
              <w:spacing w:after="0" w:line="360" w:lineRule="auto"/>
              <w:ind w:firstLine="396" w:firstLineChars="200"/>
              <w:textAlignment w:val="baseline"/>
              <w:rPr>
                <w:rFonts w:ascii="宋体" w:hAnsi="宋体" w:cs="Arial"/>
                <w:spacing w:val="-6"/>
                <w:szCs w:val="21"/>
              </w:rPr>
            </w:pPr>
            <w:r>
              <w:rPr>
                <w:rFonts w:hint="eastAsia" w:ascii="宋体" w:hAnsi="宋体" w:cs="Arial"/>
                <w:spacing w:val="-6"/>
                <w:szCs w:val="21"/>
              </w:rPr>
              <w:t xml:space="preserve"> 主要环保设备：灭火器、垃圾桶等；</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ascii="宋体" w:hAnsi="宋体" w:cs="Arial"/>
                <w:spacing w:val="-6"/>
                <w:szCs w:val="21"/>
              </w:rPr>
              <w:t>确认公司目前人力资源、基础设施、</w:t>
            </w:r>
            <w:r>
              <w:rPr>
                <w:rFonts w:hint="eastAsia" w:ascii="宋体" w:hAnsi="宋体" w:cs="Arial"/>
                <w:spacing w:val="-6"/>
                <w:szCs w:val="21"/>
              </w:rPr>
              <w:t>市场人员</w:t>
            </w:r>
            <w:r>
              <w:rPr>
                <w:rFonts w:ascii="宋体" w:hAnsi="宋体" w:cs="Arial"/>
                <w:spacing w:val="-6"/>
                <w:szCs w:val="21"/>
              </w:rPr>
              <w:t>、财力、信息等资源均能保证</w:t>
            </w:r>
            <w:r>
              <w:rPr>
                <w:rFonts w:hint="eastAsia" w:ascii="宋体" w:hAnsi="宋体" w:cs="Arial"/>
                <w:spacing w:val="-6"/>
                <w:szCs w:val="21"/>
              </w:rPr>
              <w:t>服务的正常开展</w:t>
            </w:r>
            <w:r>
              <w:rPr>
                <w:rFonts w:ascii="宋体" w:hAnsi="宋体" w:cs="Arial"/>
                <w:spacing w:val="-6"/>
                <w:szCs w:val="21"/>
              </w:rPr>
              <w:t>。</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ascii="宋体" w:hAnsi="宋体" w:cs="Arial"/>
                <w:spacing w:val="-6"/>
                <w:szCs w:val="21"/>
              </w:rPr>
              <w:t>公司财务能保证环境、职业健康安全工作的开展，确保相关资金及时投入。</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ascii="宋体" w:hAnsi="宋体" w:cs="Arial"/>
                <w:spacing w:val="-6"/>
                <w:szCs w:val="21"/>
              </w:rPr>
              <w:t>基本能满足体系运行的要求。</w:t>
            </w:r>
          </w:p>
        </w:tc>
        <w:tc>
          <w:tcPr>
            <w:tcW w:w="1342" w:type="dxa"/>
          </w:tcPr>
          <w:p>
            <w:pPr>
              <w:spacing w:after="0"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160" w:type="dxa"/>
            <w:vAlign w:val="top"/>
          </w:tcPr>
          <w:p>
            <w:pPr>
              <w:spacing w:line="280" w:lineRule="exact"/>
              <w:rPr>
                <w:rFonts w:hint="eastAsia" w:ascii="宋体" w:hAnsi="宋体" w:eastAsia="宋体" w:cs="宋体"/>
                <w:kern w:val="2"/>
                <w:sz w:val="21"/>
                <w:szCs w:val="21"/>
                <w:lang w:val="en-US" w:eastAsia="zh-CN" w:bidi="ar-SA"/>
              </w:rPr>
            </w:pPr>
            <w:r>
              <w:rPr>
                <w:rFonts w:hint="eastAsia" w:ascii="宋体" w:hAnsi="宋体" w:cs="Arial"/>
                <w:spacing w:val="-6"/>
                <w:szCs w:val="21"/>
              </w:rPr>
              <w:t>沟通</w:t>
            </w:r>
          </w:p>
        </w:tc>
        <w:tc>
          <w:tcPr>
            <w:tcW w:w="1162"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ascii="宋体" w:hAnsi="宋体" w:cs="Arial"/>
                <w:spacing w:val="-6"/>
                <w:szCs w:val="21"/>
                <w:lang w:val="en-US" w:eastAsia="zh-CN"/>
              </w:rPr>
              <w:t>Q</w:t>
            </w:r>
            <w:r>
              <w:rPr>
                <w:rFonts w:hint="eastAsia" w:ascii="宋体" w:hAnsi="宋体" w:cs="Arial"/>
                <w:spacing w:val="-6"/>
                <w:szCs w:val="21"/>
              </w:rPr>
              <w:t>:7.4</w:t>
            </w:r>
          </w:p>
        </w:tc>
        <w:tc>
          <w:tcPr>
            <w:tcW w:w="10045" w:type="dxa"/>
            <w:vAlign w:val="top"/>
          </w:tcPr>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编制了《信息交流控制程序》，有效文件，基本符合。</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经交流，体系运行中，通过文件、口头、电话、办公会议、现场协调等方式进行内部沟通，通过宣贯培训让员工充分认识到质量、环境、职业健康安全体系的要求。</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就采购产品的质量、环境、职业健康安全方面的要求进行沟通；同时将本公司的质量、环境及职业健康安全方面的要求以及法律法规通告相关方。</w:t>
            </w:r>
          </w:p>
          <w:p>
            <w:pPr>
              <w:adjustRightInd w:val="0"/>
              <w:snapToGrid w:val="0"/>
              <w:spacing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内部、外部沟通协商的机制已建立运行，有效。</w:t>
            </w:r>
          </w:p>
          <w:p>
            <w:pPr>
              <w:spacing w:line="280" w:lineRule="exact"/>
              <w:rPr>
                <w:rFonts w:ascii="Times New Roman" w:hAnsi="Times New Roman" w:eastAsia="宋体" w:cs="Times New Roman"/>
                <w:kern w:val="2"/>
                <w:sz w:val="21"/>
                <w:lang w:val="en-US" w:eastAsia="zh-CN" w:bidi="ar-SA"/>
              </w:rPr>
            </w:pPr>
            <w:r>
              <w:rPr>
                <w:rFonts w:hint="eastAsia" w:ascii="宋体" w:hAnsi="宋体" w:cs="Arial"/>
                <w:spacing w:val="-6"/>
                <w:szCs w:val="21"/>
              </w:rPr>
              <w:t>现场查见会议记录、通知通报、培训记录、文件签收等组织内部培训方式相关记录。</w:t>
            </w:r>
          </w:p>
        </w:tc>
        <w:tc>
          <w:tcPr>
            <w:tcW w:w="1342" w:type="dxa"/>
            <w:vAlign w:val="top"/>
          </w:tcPr>
          <w:p>
            <w:pPr>
              <w:rPr>
                <w:rFonts w:hint="eastAsia" w:ascii="Times New Roman" w:hAnsi="Times New Roman" w:eastAsia="宋体"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2" w:hRule="atLeast"/>
        </w:trPr>
        <w:tc>
          <w:tcPr>
            <w:tcW w:w="2160" w:type="dxa"/>
          </w:tcPr>
          <w:p>
            <w:pPr>
              <w:spacing w:after="0" w:line="360" w:lineRule="auto"/>
              <w:rPr>
                <w:rFonts w:ascii="宋体" w:hAnsi="宋体" w:cs="Arial"/>
                <w:spacing w:val="-6"/>
                <w:szCs w:val="21"/>
              </w:rPr>
            </w:pPr>
            <w:r>
              <w:rPr>
                <w:rFonts w:hint="eastAsia" w:ascii="宋体" w:hAnsi="宋体" w:cs="Arial"/>
                <w:spacing w:val="-6"/>
                <w:szCs w:val="21"/>
              </w:rPr>
              <w:t>管理评审</w:t>
            </w:r>
          </w:p>
        </w:tc>
        <w:tc>
          <w:tcPr>
            <w:tcW w:w="1162" w:type="dxa"/>
          </w:tcPr>
          <w:p>
            <w:pPr>
              <w:spacing w:after="0" w:line="360" w:lineRule="auto"/>
              <w:jc w:val="center"/>
              <w:rPr>
                <w:rFonts w:ascii="宋体" w:hAnsi="宋体" w:cs="Arial"/>
                <w:spacing w:val="-6"/>
                <w:szCs w:val="21"/>
              </w:rPr>
            </w:pPr>
            <w:r>
              <w:rPr>
                <w:rFonts w:hint="eastAsia" w:ascii="宋体" w:hAnsi="宋体" w:cs="Arial"/>
                <w:spacing w:val="-6"/>
                <w:szCs w:val="21"/>
              </w:rPr>
              <w:t>Q:9.3</w:t>
            </w:r>
          </w:p>
        </w:tc>
        <w:tc>
          <w:tcPr>
            <w:tcW w:w="10045" w:type="dxa"/>
          </w:tcPr>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2021年11月28日召开管理评审会议，由梁自牛总经理主持；</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保留管理评审计划、管理评审报告、管理评审会议记录、各部门管理评审输入资料、签到表等；</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管理评审输入较充分。</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管理评审结论：管理体系的建立和运行是充分的、适宜的、有效的。</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体系改进建议：</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 xml:space="preserve"> 1）部分员工对体系要求不熟悉，还有待加强培训；</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 xml:space="preserve">  2）对体系在运行过程中的执行还有待进一步加强。</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制定有2021年管理评审纠正/预防措施计划表及培训记录</w:t>
            </w:r>
          </w:p>
          <w:p>
            <w:pPr>
              <w:adjustRightInd w:val="0"/>
              <w:snapToGrid w:val="0"/>
              <w:spacing w:after="0" w:line="360" w:lineRule="auto"/>
              <w:ind w:right="105" w:rightChars="50" w:firstLine="420" w:firstLineChars="200"/>
              <w:textAlignment w:val="baseline"/>
            </w:pPr>
            <w:r>
              <w:rPr>
                <w:rFonts w:hint="eastAsia"/>
              </w:rPr>
              <w:drawing>
                <wp:inline distT="0" distB="0" distL="114300" distR="114300">
                  <wp:extent cx="4391660" cy="2653030"/>
                  <wp:effectExtent l="0" t="0" r="8890" b="13970"/>
                  <wp:docPr id="3" name="图片 3" descr="1640424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0424333(1)"/>
                          <pic:cNvPicPr>
                            <a:picLocks noChangeAspect="1"/>
                          </pic:cNvPicPr>
                        </pic:nvPicPr>
                        <pic:blipFill>
                          <a:blip r:embed="rId8"/>
                          <a:stretch>
                            <a:fillRect/>
                          </a:stretch>
                        </pic:blipFill>
                        <pic:spPr>
                          <a:xfrm>
                            <a:off x="0" y="0"/>
                            <a:ext cx="4391660" cy="2653030"/>
                          </a:xfrm>
                          <a:prstGeom prst="rect">
                            <a:avLst/>
                          </a:prstGeom>
                        </pic:spPr>
                      </pic:pic>
                    </a:graphicData>
                  </a:graphic>
                </wp:inline>
              </w:drawing>
            </w:r>
          </w:p>
        </w:tc>
        <w:tc>
          <w:tcPr>
            <w:tcW w:w="1342" w:type="dxa"/>
          </w:tcPr>
          <w:p>
            <w:pPr>
              <w:spacing w:after="0" w:line="360" w:lineRule="auto"/>
              <w:rPr>
                <w:color w:val="FF0000"/>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160" w:type="dxa"/>
          </w:tcPr>
          <w:p>
            <w:pPr>
              <w:spacing w:after="0" w:line="360" w:lineRule="auto"/>
              <w:rPr>
                <w:rFonts w:ascii="宋体" w:hAnsi="宋体" w:cs="Arial"/>
                <w:spacing w:val="-6"/>
                <w:szCs w:val="21"/>
              </w:rPr>
            </w:pPr>
            <w:r>
              <w:rPr>
                <w:rFonts w:hint="eastAsia" w:ascii="宋体" w:hAnsi="宋体" w:cs="Arial"/>
                <w:spacing w:val="-6"/>
                <w:szCs w:val="21"/>
              </w:rPr>
              <w:t>改进</w:t>
            </w:r>
          </w:p>
          <w:p>
            <w:pPr>
              <w:spacing w:after="0" w:line="360" w:lineRule="auto"/>
              <w:rPr>
                <w:rFonts w:ascii="宋体" w:hAnsi="宋体" w:cs="Arial"/>
                <w:spacing w:val="-6"/>
                <w:szCs w:val="21"/>
              </w:rPr>
            </w:pPr>
            <w:r>
              <w:rPr>
                <w:rFonts w:hint="eastAsia" w:ascii="宋体" w:hAnsi="宋体" w:cs="Arial"/>
                <w:spacing w:val="-6"/>
                <w:szCs w:val="21"/>
              </w:rPr>
              <w:t>持续改进</w:t>
            </w:r>
          </w:p>
        </w:tc>
        <w:tc>
          <w:tcPr>
            <w:tcW w:w="1162" w:type="dxa"/>
          </w:tcPr>
          <w:p>
            <w:pPr>
              <w:spacing w:after="0" w:line="360" w:lineRule="auto"/>
              <w:jc w:val="center"/>
              <w:rPr>
                <w:rFonts w:ascii="宋体" w:hAnsi="宋体" w:cs="Arial"/>
                <w:spacing w:val="-6"/>
                <w:szCs w:val="21"/>
              </w:rPr>
            </w:pPr>
            <w:r>
              <w:rPr>
                <w:rFonts w:hint="eastAsia" w:ascii="宋体" w:hAnsi="宋体" w:cs="Arial"/>
                <w:spacing w:val="-6"/>
                <w:szCs w:val="21"/>
              </w:rPr>
              <w:t>Q:10.1</w:t>
            </w:r>
          </w:p>
          <w:p>
            <w:pPr>
              <w:spacing w:after="0" w:line="360" w:lineRule="auto"/>
              <w:jc w:val="center"/>
              <w:rPr>
                <w:rFonts w:ascii="宋体" w:hAnsi="宋体" w:cs="Arial"/>
                <w:spacing w:val="-6"/>
                <w:szCs w:val="21"/>
              </w:rPr>
            </w:pPr>
            <w:r>
              <w:rPr>
                <w:rFonts w:hint="eastAsia" w:ascii="宋体" w:hAnsi="宋体" w:cs="Arial"/>
                <w:spacing w:val="-6"/>
                <w:szCs w:val="21"/>
              </w:rPr>
              <w:t>10.3</w:t>
            </w:r>
          </w:p>
        </w:tc>
        <w:tc>
          <w:tcPr>
            <w:tcW w:w="10045" w:type="dxa"/>
          </w:tcPr>
          <w:p>
            <w:pPr>
              <w:adjustRightInd w:val="0"/>
              <w:snapToGrid w:val="0"/>
              <w:spacing w:after="0" w:line="360" w:lineRule="auto"/>
              <w:ind w:right="105" w:rightChars="50"/>
              <w:textAlignment w:val="baseline"/>
              <w:rPr>
                <w:rFonts w:ascii="宋体" w:hAnsi="宋体" w:cs="Arial"/>
                <w:spacing w:val="-6"/>
                <w:szCs w:val="21"/>
              </w:rPr>
            </w:pPr>
            <w:r>
              <w:rPr>
                <w:rFonts w:hint="eastAsia" w:ascii="宋体" w:hAnsi="宋体" w:cs="Arial"/>
                <w:spacing w:val="-6"/>
                <w:szCs w:val="21"/>
              </w:rPr>
              <w:t>管理者代表根据总经理意图组织持续改进过程的策划工作，由行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342" w:type="dxa"/>
          </w:tcPr>
          <w:p>
            <w:pPr>
              <w:spacing w:after="0"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60" w:type="dxa"/>
          </w:tcPr>
          <w:p>
            <w:pPr>
              <w:spacing w:after="0" w:line="360" w:lineRule="auto"/>
              <w:rPr>
                <w:rFonts w:ascii="宋体" w:hAnsi="宋体" w:cs="Arial"/>
                <w:spacing w:val="-6"/>
                <w:szCs w:val="21"/>
              </w:rPr>
            </w:pPr>
            <w:r>
              <w:rPr>
                <w:rFonts w:hint="eastAsia" w:ascii="Times New Roman" w:hAnsi="Times New Roman" w:eastAsia="宋体" w:cs="Times New Roman"/>
                <w:sz w:val="24"/>
                <w:szCs w:val="24"/>
              </w:rPr>
              <w:t>资质验证、</w:t>
            </w:r>
            <w:r>
              <w:rPr>
                <w:rFonts w:hint="eastAsia" w:ascii="Times New Roman" w:hAnsi="Times New Roman" w:eastAsia="宋体" w:cs="Times New Roman"/>
                <w:sz w:val="24"/>
                <w:szCs w:val="24"/>
                <w:lang w:val="en-US" w:eastAsia="zh-CN"/>
              </w:rPr>
              <w:t>一阶段问题验证、</w:t>
            </w:r>
            <w:r>
              <w:rPr>
                <w:rFonts w:hint="eastAsia" w:ascii="Times New Roman" w:hAnsi="Times New Roman" w:eastAsia="宋体" w:cs="Times New Roman"/>
                <w:sz w:val="24"/>
                <w:szCs w:val="24"/>
              </w:rPr>
              <w:t>安全事故、顾客投诉、抽查、遵纪守法情况、证书标志的使用，不符合项报告的验证等</w:t>
            </w:r>
          </w:p>
        </w:tc>
        <w:tc>
          <w:tcPr>
            <w:tcW w:w="1162" w:type="dxa"/>
          </w:tcPr>
          <w:p>
            <w:pPr>
              <w:spacing w:after="0" w:line="360" w:lineRule="auto"/>
            </w:pPr>
          </w:p>
        </w:tc>
        <w:tc>
          <w:tcPr>
            <w:tcW w:w="10045" w:type="dxa"/>
          </w:tcPr>
          <w:p>
            <w:pPr>
              <w:adjustRightInd w:val="0"/>
              <w:snapToGrid w:val="0"/>
              <w:spacing w:after="0" w:line="360" w:lineRule="auto"/>
              <w:ind w:right="105" w:rightChars="50" w:firstLine="396" w:firstLineChars="200"/>
              <w:textAlignment w:val="baseline"/>
              <w:rPr>
                <w:rFonts w:hint="eastAsia" w:ascii="宋体" w:hAnsi="宋体" w:cs="Arial"/>
                <w:spacing w:val="-6"/>
                <w:szCs w:val="21"/>
              </w:rPr>
            </w:pPr>
            <w:r>
              <w:rPr>
                <w:rFonts w:hint="eastAsia" w:ascii="宋体" w:hAnsi="宋体" w:cs="Arial"/>
                <w:spacing w:val="-6"/>
                <w:szCs w:val="21"/>
              </w:rPr>
              <w:t>经查验营业执照有效。信用平台查询，无不良信息。</w:t>
            </w:r>
          </w:p>
          <w:p>
            <w:pPr>
              <w:adjustRightInd w:val="0"/>
              <w:snapToGrid w:val="0"/>
              <w:spacing w:after="0" w:line="360" w:lineRule="auto"/>
              <w:ind w:right="105" w:rightChars="50" w:firstLine="420" w:firstLineChars="200"/>
              <w:textAlignment w:val="baseline"/>
            </w:pPr>
            <w:r>
              <w:rPr>
                <w:rFonts w:hint="eastAsia"/>
              </w:rPr>
              <w:t>一阶段审核未发现问题 。</w:t>
            </w:r>
          </w:p>
          <w:p>
            <w:pPr>
              <w:adjustRightInd w:val="0"/>
              <w:snapToGrid w:val="0"/>
              <w:spacing w:after="0" w:line="360" w:lineRule="auto"/>
              <w:ind w:right="105" w:rightChars="50" w:firstLine="396" w:firstLineChars="200"/>
              <w:textAlignment w:val="baseline"/>
              <w:rPr>
                <w:rFonts w:ascii="宋体" w:hAnsi="宋体" w:cs="Arial"/>
                <w:spacing w:val="-6"/>
                <w:szCs w:val="21"/>
              </w:rPr>
            </w:pPr>
            <w:r>
              <w:rPr>
                <w:rFonts w:hint="eastAsia" w:ascii="宋体" w:hAnsi="宋体" w:cs="Arial"/>
                <w:spacing w:val="-6"/>
                <w:szCs w:val="21"/>
              </w:rPr>
              <w:t>自公司成立以来，未受到上级主管部门有关质量、环境问题、职业健康安全的行政处罚。</w:t>
            </w:r>
          </w:p>
          <w:p>
            <w:pPr>
              <w:rPr>
                <w:szCs w:val="21"/>
              </w:rPr>
            </w:pPr>
            <w:r>
              <w:rPr>
                <w:rFonts w:hint="eastAsia" w:ascii="宋体" w:hAnsi="宋体" w:cs="Arial"/>
                <w:spacing w:val="-6"/>
                <w:szCs w:val="21"/>
              </w:rPr>
              <w:t xml:space="preserve"> </w:t>
            </w:r>
            <w:r>
              <w:rPr>
                <w:rFonts w:hint="eastAsia"/>
                <w:szCs w:val="21"/>
              </w:rPr>
              <w:t>公司管理体系自运行以来，未发生环境、职业健康安全事故</w:t>
            </w:r>
          </w:p>
          <w:p>
            <w:pPr>
              <w:rPr>
                <w:szCs w:val="21"/>
              </w:rPr>
            </w:pPr>
            <w:r>
              <w:rPr>
                <w:rFonts w:hint="eastAsia"/>
                <w:szCs w:val="21"/>
              </w:rPr>
              <w:t>管理体系运行期间未发生顾客及相关方投诉情况</w:t>
            </w:r>
          </w:p>
          <w:p>
            <w:pPr>
              <w:rPr>
                <w:szCs w:val="21"/>
              </w:rPr>
            </w:pPr>
            <w:r>
              <w:rPr>
                <w:rFonts w:hint="eastAsia"/>
                <w:szCs w:val="21"/>
              </w:rPr>
              <w:t>目前没有上级主管部门对公司的在环境、职业健康安全监督抽查</w:t>
            </w:r>
          </w:p>
          <w:p>
            <w:pPr>
              <w:adjustRightInd w:val="0"/>
              <w:snapToGrid w:val="0"/>
              <w:spacing w:after="0" w:line="360" w:lineRule="auto"/>
              <w:ind w:right="105" w:rightChars="50"/>
              <w:textAlignment w:val="baseline"/>
              <w:rPr>
                <w:rFonts w:ascii="宋体" w:hAnsi="宋体" w:cs="Arial"/>
                <w:spacing w:val="-6"/>
                <w:szCs w:val="21"/>
              </w:rPr>
            </w:pPr>
            <w:r>
              <w:rPr>
                <w:rFonts w:hint="eastAsia"/>
                <w:szCs w:val="21"/>
              </w:rPr>
              <w:t>目前公司经营过程中没有发生违反相关法律法规及其他要求的情况</w:t>
            </w:r>
          </w:p>
        </w:tc>
        <w:tc>
          <w:tcPr>
            <w:tcW w:w="1342" w:type="dxa"/>
          </w:tcPr>
          <w:p>
            <w:pPr>
              <w:spacing w:after="0" w:line="360" w:lineRule="auto"/>
            </w:pPr>
            <w:r>
              <w:rPr>
                <w:rFonts w:hint="eastAsia"/>
              </w:rPr>
              <w:t>Y</w:t>
            </w:r>
          </w:p>
        </w:tc>
      </w:tr>
    </w:tbl>
    <w:p>
      <w:r>
        <w:ptab w:relativeTo="margin" w:alignment="center" w:leader="none"/>
      </w:r>
    </w:p>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B67B7"/>
    <w:multiLevelType w:val="multilevel"/>
    <w:tmpl w:val="612B67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3E"/>
    <w:rsid w:val="000129BD"/>
    <w:rsid w:val="000445EC"/>
    <w:rsid w:val="000857D5"/>
    <w:rsid w:val="000C32AC"/>
    <w:rsid w:val="00170E99"/>
    <w:rsid w:val="00502732"/>
    <w:rsid w:val="006C47F7"/>
    <w:rsid w:val="007B00E2"/>
    <w:rsid w:val="008D123E"/>
    <w:rsid w:val="009D2A14"/>
    <w:rsid w:val="00A67044"/>
    <w:rsid w:val="00AD0CA2"/>
    <w:rsid w:val="00BC1D03"/>
    <w:rsid w:val="00F273C7"/>
    <w:rsid w:val="00F74E0C"/>
    <w:rsid w:val="00FD66E0"/>
    <w:rsid w:val="01DB308A"/>
    <w:rsid w:val="08D32AF8"/>
    <w:rsid w:val="0A8E06FD"/>
    <w:rsid w:val="18374850"/>
    <w:rsid w:val="1DE1282F"/>
    <w:rsid w:val="23BB64DF"/>
    <w:rsid w:val="284D2AED"/>
    <w:rsid w:val="30791113"/>
    <w:rsid w:val="34CB156F"/>
    <w:rsid w:val="3512619C"/>
    <w:rsid w:val="39804926"/>
    <w:rsid w:val="42265243"/>
    <w:rsid w:val="48E520C6"/>
    <w:rsid w:val="4BC50486"/>
    <w:rsid w:val="5553018A"/>
    <w:rsid w:val="57E632FC"/>
    <w:rsid w:val="5A092563"/>
    <w:rsid w:val="5FE018B5"/>
    <w:rsid w:val="61C35FAD"/>
    <w:rsid w:val="6DA66DCF"/>
    <w:rsid w:val="6E184FBE"/>
    <w:rsid w:val="74D9741A"/>
    <w:rsid w:val="787A6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ind w:firstLine="7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620</Words>
  <Characters>3536</Characters>
  <Lines>29</Lines>
  <Paragraphs>8</Paragraphs>
  <TotalTime>3</TotalTime>
  <ScaleCrop>false</ScaleCrop>
  <LinksUpToDate>false</LinksUpToDate>
  <CharactersWithSpaces>4148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2021-12-27T20:35:00Z</dcterms:created>
  <dc:creator>微软用户</dc:creator>
  <cp:lastModifiedBy>春华秋实</cp:lastModifiedBy>
  <dcterms:modified xsi:type="dcterms:W3CDTF">2022-01-12T07:38:28Z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8E6933A815DC44F48317B73C9003E5EA</vt:lpwstr>
  </property>
  <property fmtid="{D5CDD505-2E9C-101B-9397-08002B2CF9AE}" pid="3" name="KSOProductBuildVer">
    <vt:lpwstr>2052-11.1.0.11194</vt:lpwstr>
  </property>
</Properties>
</file>