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09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vAlign w:val="center"/>
          </w:tcPr>
          <w:p>
            <w:pPr>
              <w:spacing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1095"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sz w:val="24"/>
                <w:szCs w:val="24"/>
              </w:rPr>
            </w:pPr>
            <w:r>
              <w:rPr>
                <w:rFonts w:hint="eastAsia"/>
                <w:sz w:val="24"/>
                <w:szCs w:val="24"/>
              </w:rPr>
              <w:t xml:space="preserve">受审核部门：市场部        主管领导：梁虎         陪同人员：张佩佩 </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vAlign w:val="center"/>
          </w:tcPr>
          <w:p>
            <w:pPr>
              <w:spacing w:line="360" w:lineRule="auto"/>
            </w:pPr>
          </w:p>
        </w:tc>
        <w:tc>
          <w:tcPr>
            <w:tcW w:w="1095" w:type="dxa"/>
            <w:vMerge w:val="continue"/>
            <w:vAlign w:val="center"/>
          </w:tcPr>
          <w:p>
            <w:pPr>
              <w:spacing w:line="360" w:lineRule="auto"/>
            </w:pPr>
          </w:p>
        </w:tc>
        <w:tc>
          <w:tcPr>
            <w:tcW w:w="10004" w:type="dxa"/>
            <w:vAlign w:val="center"/>
          </w:tcPr>
          <w:p>
            <w:pPr>
              <w:spacing w:line="360" w:lineRule="auto"/>
            </w:pPr>
            <w:r>
              <w:rPr>
                <w:rFonts w:hint="eastAsia"/>
                <w:sz w:val="24"/>
                <w:szCs w:val="24"/>
              </w:rPr>
              <w:t>审核员</w:t>
            </w:r>
            <w:r>
              <w:rPr>
                <w:rFonts w:hint="eastAsia"/>
                <w:sz w:val="24"/>
                <w:szCs w:val="24"/>
                <w:lang w:eastAsia="zh-CN"/>
              </w:rPr>
              <w:t>：</w:t>
            </w:r>
            <w:r>
              <w:rPr>
                <w:rFonts w:hint="eastAsia"/>
                <w:sz w:val="24"/>
                <w:szCs w:val="24"/>
                <w:lang w:val="en-US" w:eastAsia="zh-CN"/>
              </w:rPr>
              <w:t>温红玲</w:t>
            </w:r>
            <w:r>
              <w:rPr>
                <w:rFonts w:hint="eastAsia"/>
                <w:sz w:val="24"/>
                <w:szCs w:val="24"/>
              </w:rPr>
              <w:t>、</w:t>
            </w:r>
            <w:r>
              <w:rPr>
                <w:rFonts w:hint="eastAsia"/>
                <w:sz w:val="24"/>
                <w:szCs w:val="24"/>
                <w:lang w:val="de-DE"/>
              </w:rPr>
              <w:t>陈彦文</w:t>
            </w:r>
            <w:r>
              <w:rPr>
                <w:rFonts w:hint="eastAsia"/>
                <w:sz w:val="24"/>
                <w:szCs w:val="24"/>
              </w:rPr>
              <w:t>(</w:t>
            </w:r>
            <w:r>
              <w:rPr>
                <w:rFonts w:hint="eastAsia"/>
                <w:sz w:val="24"/>
                <w:szCs w:val="24"/>
                <w:lang w:val="en-US" w:eastAsia="zh-CN"/>
              </w:rPr>
              <w:t>提供专业</w:t>
            </w:r>
            <w:r>
              <w:rPr>
                <w:rFonts w:hint="eastAsia"/>
                <w:sz w:val="24"/>
                <w:szCs w:val="24"/>
              </w:rPr>
              <w:t xml:space="preserve">技术支持) </w:t>
            </w:r>
            <w:r>
              <w:rPr>
                <w:rFonts w:hint="eastAsia"/>
                <w:sz w:val="24"/>
                <w:szCs w:val="24"/>
                <w:lang w:val="en-US" w:eastAsia="zh-CN"/>
              </w:rPr>
              <w:t xml:space="preserve">          </w:t>
            </w:r>
            <w:r>
              <w:rPr>
                <w:rFonts w:hint="eastAsia"/>
                <w:sz w:val="24"/>
                <w:szCs w:val="24"/>
              </w:rPr>
              <w:t>审核时间：2021年12月2</w:t>
            </w:r>
            <w:r>
              <w:rPr>
                <w:rFonts w:hint="eastAsia"/>
                <w:sz w:val="24"/>
                <w:szCs w:val="24"/>
                <w:lang w:val="en-US" w:eastAsia="zh-CN"/>
              </w:rPr>
              <w:t>6</w:t>
            </w:r>
            <w:r>
              <w:rPr>
                <w:rFonts w:hint="eastAsia"/>
                <w:sz w:val="24"/>
                <w:szCs w:val="24"/>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vAlign w:val="center"/>
          </w:tcPr>
          <w:p>
            <w:pPr>
              <w:spacing w:line="360" w:lineRule="auto"/>
            </w:pPr>
          </w:p>
        </w:tc>
        <w:tc>
          <w:tcPr>
            <w:tcW w:w="1095" w:type="dxa"/>
            <w:vMerge w:val="continue"/>
            <w:vAlign w:val="center"/>
          </w:tcPr>
          <w:p>
            <w:pPr>
              <w:spacing w:line="360" w:lineRule="auto"/>
            </w:pPr>
          </w:p>
        </w:tc>
        <w:tc>
          <w:tcPr>
            <w:tcW w:w="10004" w:type="dxa"/>
            <w:vAlign w:val="center"/>
          </w:tcPr>
          <w:p>
            <w:pPr>
              <w:spacing w:line="360" w:lineRule="auto"/>
              <w:rPr>
                <w:sz w:val="24"/>
                <w:szCs w:val="24"/>
              </w:rPr>
            </w:pPr>
            <w:r>
              <w:rPr>
                <w:rFonts w:hint="eastAsia"/>
                <w:sz w:val="24"/>
                <w:szCs w:val="24"/>
              </w:rPr>
              <w:t>审核条款：</w:t>
            </w:r>
          </w:p>
          <w:p>
            <w:pPr>
              <w:spacing w:line="360" w:lineRule="auto"/>
              <w:jc w:val="left"/>
              <w:rPr>
                <w:sz w:val="24"/>
                <w:szCs w:val="24"/>
              </w:rPr>
            </w:pPr>
            <w:r>
              <w:rPr>
                <w:rFonts w:hint="eastAsia" w:ascii="Times New Roman" w:hAnsi="Times New Roman" w:eastAsia="宋体" w:cs="Times New Roman"/>
                <w:sz w:val="24"/>
                <w:szCs w:val="24"/>
              </w:rPr>
              <w:t>O:5.3组织的角色、职责和权限；6.1.2危险源辨识和职业安全风险评价；6.2目标及其实现的策划；8.1运行策划和控制；8.2应急准备和响应；</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spacing w:line="360" w:lineRule="auto"/>
            </w:pPr>
            <w:r>
              <w:rPr>
                <w:rFonts w:hint="eastAsia" w:ascii="宋体" w:hAnsi="宋体" w:cs="Arial"/>
                <w:spacing w:val="-6"/>
                <w:szCs w:val="21"/>
              </w:rPr>
              <w:t>组织的岗位、职责和权限</w:t>
            </w:r>
          </w:p>
        </w:tc>
        <w:tc>
          <w:tcPr>
            <w:tcW w:w="1095" w:type="dxa"/>
          </w:tcPr>
          <w:p>
            <w:pPr>
              <w:spacing w:line="360" w:lineRule="auto"/>
              <w:jc w:val="center"/>
              <w:rPr>
                <w:rFonts w:ascii="宋体" w:hAnsi="宋体" w:cs="Arial"/>
                <w:spacing w:val="-6"/>
                <w:szCs w:val="21"/>
              </w:rPr>
            </w:pPr>
            <w:r>
              <w:rPr>
                <w:rFonts w:hint="eastAsia" w:ascii="宋体" w:hAnsi="宋体" w:cs="Arial"/>
                <w:spacing w:val="-6"/>
                <w:szCs w:val="21"/>
              </w:rPr>
              <w:t>O:5.3</w:t>
            </w:r>
          </w:p>
        </w:tc>
        <w:tc>
          <w:tcPr>
            <w:tcW w:w="10004" w:type="dxa"/>
          </w:tcPr>
          <w:p>
            <w:pPr>
              <w:spacing w:line="360" w:lineRule="auto"/>
              <w:ind w:firstLine="420" w:firstLineChars="200"/>
            </w:pPr>
            <w:r>
              <w:rPr>
                <w:rFonts w:hint="eastAsia"/>
              </w:rPr>
              <w:t>市场部主要负责：</w:t>
            </w:r>
          </w:p>
          <w:p>
            <w:pPr>
              <w:spacing w:line="480" w:lineRule="auto"/>
              <w:ind w:left="420"/>
            </w:pPr>
            <w:r>
              <w:rPr>
                <w:rFonts w:hint="eastAsia"/>
              </w:rPr>
              <w:t>1、招聘：根据用人单位需求发布招聘信息；</w:t>
            </w:r>
          </w:p>
          <w:p>
            <w:pPr>
              <w:spacing w:line="480" w:lineRule="auto"/>
              <w:ind w:left="420"/>
            </w:pPr>
            <w:r>
              <w:rPr>
                <w:rFonts w:hint="eastAsia"/>
              </w:rPr>
              <w:t>2、信息采集：对于求职人员信息采集（包含身份证信息、联系方式、求职意向等），做好人员储备工作：</w:t>
            </w:r>
          </w:p>
          <w:p>
            <w:pPr>
              <w:spacing w:line="480" w:lineRule="auto"/>
              <w:ind w:left="420"/>
            </w:pPr>
            <w:r>
              <w:rPr>
                <w:rFonts w:hint="eastAsia"/>
              </w:rPr>
              <w:t>3、求职者与用工单位的衔接（包含面试、体检等）；</w:t>
            </w:r>
          </w:p>
          <w:p>
            <w:pPr>
              <w:spacing w:line="480" w:lineRule="auto"/>
              <w:ind w:left="420"/>
            </w:pPr>
            <w:r>
              <w:rPr>
                <w:rFonts w:hint="eastAsia"/>
              </w:rPr>
              <w:t>4、录用后签订劳动合同、收集身份证复印件、银行卡信息、社保信息及缴纳情况、安全培训等（由于信息不全造成的工资发放及社保缴纳滞后等后果均由业务员自行负责）；</w:t>
            </w:r>
          </w:p>
          <w:p>
            <w:pPr>
              <w:spacing w:line="480" w:lineRule="auto"/>
              <w:ind w:left="420"/>
            </w:pPr>
            <w:r>
              <w:rPr>
                <w:rFonts w:hint="eastAsia"/>
              </w:rPr>
              <w:t>5、售后跟踪服务，对于劳务派遣员工提出的问题及时处理，处理不好的及时上报公司主管领导；管理政府及街办社区的业务员要按时向用工单位索取考勤及考核表；</w:t>
            </w:r>
          </w:p>
          <w:p>
            <w:pPr>
              <w:spacing w:line="480" w:lineRule="auto"/>
              <w:ind w:left="420"/>
            </w:pPr>
            <w:r>
              <w:rPr>
                <w:rFonts w:hint="eastAsia"/>
              </w:rPr>
              <w:t>6、对于已发生的业务督促用人单位及时付款；政府部门按照协议约定定期开票结账；</w:t>
            </w:r>
          </w:p>
          <w:p>
            <w:pPr>
              <w:spacing w:line="480" w:lineRule="auto"/>
              <w:ind w:left="420"/>
            </w:pPr>
            <w:r>
              <w:rPr>
                <w:rFonts w:hint="eastAsia"/>
              </w:rPr>
              <w:t>7、对劳务工进行工资待遇及个税专项扣除信息申报告知；</w:t>
            </w:r>
          </w:p>
          <w:p>
            <w:pPr>
              <w:spacing w:line="480" w:lineRule="auto"/>
              <w:ind w:left="420"/>
            </w:pPr>
            <w:r>
              <w:rPr>
                <w:rFonts w:hint="eastAsia"/>
              </w:rPr>
              <w:t>8、社保办理：严格按照社保办理管理制度执行，如实填报社保缴纳时间；</w:t>
            </w:r>
          </w:p>
          <w:p>
            <w:pPr>
              <w:spacing w:line="480" w:lineRule="auto"/>
              <w:ind w:left="420"/>
            </w:pPr>
            <w:r>
              <w:rPr>
                <w:rFonts w:hint="eastAsia"/>
              </w:rPr>
              <w:t>9、工伤事宜，严格按照工伤管理制度及时通知公司管理工伤申报的人员；</w:t>
            </w:r>
          </w:p>
          <w:p>
            <w:pPr>
              <w:spacing w:line="480" w:lineRule="auto"/>
              <w:ind w:left="420"/>
            </w:pPr>
            <w:r>
              <w:rPr>
                <w:rFonts w:hint="eastAsia"/>
              </w:rPr>
              <w:t>10、离职：接到离职通知后第一时间填报社保增减表、办理离职相关手续，若因未及时办理造成的不良后果公司有权责令业务员负责；</w:t>
            </w:r>
          </w:p>
          <w:p>
            <w:pPr>
              <w:spacing w:line="360" w:lineRule="auto"/>
              <w:ind w:firstLine="420" w:firstLineChars="200"/>
              <w:rPr>
                <w:rFonts w:hint="eastAsia"/>
              </w:rPr>
            </w:pPr>
            <w:r>
              <w:rPr>
                <w:rFonts w:hint="eastAsia"/>
              </w:rPr>
              <w:t>及本部门的职业健康安全和环境保护管理。</w:t>
            </w:r>
          </w:p>
          <w:p>
            <w:pPr>
              <w:pStyle w:val="2"/>
            </w:pPr>
            <w:r>
              <w:rPr>
                <w:rFonts w:hint="eastAsia"/>
                <w:lang w:val="en-US" w:eastAsia="zh-CN"/>
              </w:rPr>
              <w:t>与部门负责人沟通，明确职责。</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spacing w:line="360" w:lineRule="auto"/>
            </w:pPr>
            <w:r>
              <w:rPr>
                <w:rFonts w:hint="eastAsia"/>
              </w:rPr>
              <w:t>目标及实现的策划</w:t>
            </w:r>
          </w:p>
        </w:tc>
        <w:tc>
          <w:tcPr>
            <w:tcW w:w="1095" w:type="dxa"/>
          </w:tcPr>
          <w:p>
            <w:pPr>
              <w:spacing w:line="360" w:lineRule="auto"/>
              <w:jc w:val="center"/>
              <w:rPr>
                <w:rFonts w:ascii="宋体" w:hAnsi="宋体" w:cs="Arial"/>
                <w:spacing w:val="-6"/>
                <w:szCs w:val="21"/>
              </w:rPr>
            </w:pPr>
            <w:r>
              <w:rPr>
                <w:rFonts w:hint="eastAsia" w:ascii="宋体" w:hAnsi="宋体" w:cs="Arial"/>
                <w:spacing w:val="-6"/>
                <w:szCs w:val="21"/>
              </w:rPr>
              <w:t>O:6.2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查见“质量\环境\职业健康安全目标分解考核表”，见市场部的目标：</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人员工伤事故发生次数为0</w:t>
            </w:r>
            <w:r>
              <w:rPr>
                <w:rFonts w:hint="eastAsia" w:ascii="宋体" w:hAnsi="宋体" w:eastAsia="宋体" w:cs="宋体"/>
                <w:sz w:val="21"/>
                <w:szCs w:val="21"/>
                <w:lang w:val="en-US" w:eastAsia="zh-CN"/>
              </w:rPr>
              <w:t xml:space="preserve">      0</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顾客满意度≥95分</w:t>
            </w:r>
            <w:r>
              <w:rPr>
                <w:rFonts w:hint="eastAsia" w:ascii="宋体" w:hAnsi="宋体" w:eastAsia="宋体" w:cs="宋体"/>
                <w:sz w:val="21"/>
                <w:szCs w:val="21"/>
                <w:lang w:val="en-US" w:eastAsia="zh-CN"/>
              </w:rPr>
              <w:t xml:space="preserve">            96</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环境污染发生次数为0</w:t>
            </w:r>
            <w:r>
              <w:rPr>
                <w:rFonts w:hint="eastAsia" w:ascii="宋体" w:hAnsi="宋体" w:eastAsia="宋体" w:cs="宋体"/>
                <w:sz w:val="21"/>
                <w:szCs w:val="21"/>
                <w:lang w:val="en-US" w:eastAsia="zh-CN"/>
              </w:rPr>
              <w:t xml:space="preserve">          0</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火灾事故为0</w:t>
            </w:r>
            <w:r>
              <w:rPr>
                <w:rFonts w:hint="eastAsia" w:ascii="宋体" w:hAnsi="宋体" w:eastAsia="宋体" w:cs="宋体"/>
                <w:sz w:val="21"/>
                <w:szCs w:val="21"/>
                <w:lang w:val="en-US" w:eastAsia="zh-CN"/>
              </w:rPr>
              <w:t xml:space="preserve">                 0</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触电事故为0</w:t>
            </w:r>
            <w:r>
              <w:rPr>
                <w:rFonts w:hint="eastAsia" w:ascii="宋体" w:hAnsi="宋体" w:eastAsia="宋体" w:cs="宋体"/>
                <w:sz w:val="21"/>
                <w:szCs w:val="21"/>
                <w:lang w:val="en-US" w:eastAsia="zh-CN"/>
              </w:rPr>
              <w:t xml:space="preserve">                 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2021年1-12月考核，显示目标均已全部完成。</w:t>
            </w:r>
          </w:p>
          <w:p>
            <w:pPr>
              <w:spacing w:line="360" w:lineRule="auto"/>
              <w:ind w:firstLine="420" w:firstLineChars="200"/>
              <w:rPr>
                <w:rFonts w:asciiTheme="minorEastAsia" w:hAnsiTheme="minorEastAsia" w:eastAsiaTheme="minorEastAsia" w:cstheme="minorEastAsia"/>
                <w:highlight w:val="red"/>
              </w:rPr>
            </w:pPr>
            <w:r>
              <w:rPr>
                <w:rFonts w:hint="eastAsia" w:ascii="宋体" w:hAnsi="宋体" w:eastAsia="宋体" w:cs="宋体"/>
                <w:sz w:val="21"/>
                <w:szCs w:val="21"/>
              </w:rPr>
              <w:t>基本符合。</w:t>
            </w:r>
          </w:p>
        </w:tc>
        <w:tc>
          <w:tcPr>
            <w:tcW w:w="1585" w:type="dxa"/>
            <w:vAlign w:val="top"/>
          </w:tcPr>
          <w:p>
            <w:pPr>
              <w:spacing w:line="360" w:lineRule="auto"/>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spacing w:line="360" w:lineRule="auto"/>
              <w:rPr>
                <w:rFonts w:ascii="宋体" w:hAnsi="宋体" w:cs="Arial"/>
                <w:spacing w:val="-6"/>
                <w:szCs w:val="21"/>
              </w:rPr>
            </w:pPr>
            <w:r>
              <w:rPr>
                <w:rFonts w:hint="eastAsia" w:ascii="宋体" w:hAnsi="宋体" w:cs="Arial"/>
                <w:spacing w:val="-6"/>
                <w:szCs w:val="21"/>
              </w:rPr>
              <w:t>环境因素/危险源的识别与评价</w:t>
            </w:r>
          </w:p>
          <w:p>
            <w:pPr>
              <w:spacing w:line="360" w:lineRule="auto"/>
              <w:rPr>
                <w:rFonts w:ascii="宋体" w:hAnsi="宋体" w:cs="Arial"/>
                <w:spacing w:val="-6"/>
                <w:szCs w:val="21"/>
              </w:rPr>
            </w:pPr>
            <w:r>
              <w:rPr>
                <w:rFonts w:hint="eastAsia" w:ascii="宋体" w:hAnsi="宋体" w:cs="Arial"/>
                <w:spacing w:val="-6"/>
                <w:szCs w:val="21"/>
              </w:rPr>
              <w:t>措施的策划</w:t>
            </w:r>
          </w:p>
        </w:tc>
        <w:tc>
          <w:tcPr>
            <w:tcW w:w="1095" w:type="dxa"/>
          </w:tcPr>
          <w:p>
            <w:pPr>
              <w:spacing w:line="360" w:lineRule="auto"/>
              <w:jc w:val="center"/>
              <w:rPr>
                <w:rFonts w:ascii="宋体" w:hAnsi="宋体" w:cs="Arial"/>
                <w:spacing w:val="-6"/>
                <w:szCs w:val="21"/>
              </w:rPr>
            </w:pPr>
            <w:r>
              <w:rPr>
                <w:rFonts w:hint="eastAsia" w:ascii="宋体" w:hAnsi="宋体" w:cs="Arial"/>
                <w:spacing w:val="-6"/>
                <w:szCs w:val="21"/>
              </w:rPr>
              <w:t>O:6.1.2</w:t>
            </w:r>
          </w:p>
          <w:p>
            <w:pPr>
              <w:spacing w:line="360" w:lineRule="auto"/>
              <w:jc w:val="center"/>
              <w:rPr>
                <w:rFonts w:ascii="宋体" w:hAnsi="宋体" w:cs="Arial"/>
                <w:spacing w:val="-6"/>
                <w:szCs w:val="21"/>
              </w:rPr>
            </w:pPr>
            <w:r>
              <w:rPr>
                <w:rFonts w:hint="eastAsia" w:ascii="宋体" w:hAnsi="宋体" w:cs="Arial"/>
                <w:spacing w:val="-6"/>
                <w:szCs w:val="21"/>
              </w:rPr>
              <w:t>6.1.4</w:t>
            </w:r>
          </w:p>
        </w:tc>
        <w:tc>
          <w:tcPr>
            <w:tcW w:w="10004" w:type="dxa"/>
          </w:tcPr>
          <w:p>
            <w:pPr>
              <w:spacing w:line="360" w:lineRule="auto"/>
              <w:ind w:firstLine="420" w:firstLineChars="200"/>
            </w:pPr>
            <w:r>
              <w:rPr>
                <w:rFonts w:hint="eastAsia"/>
              </w:rPr>
              <w:t>提供了环境因素识别和控制程序，危险源识别和控制程序，有效文件。</w:t>
            </w:r>
          </w:p>
          <w:p>
            <w:pPr>
              <w:spacing w:line="360" w:lineRule="auto"/>
              <w:ind w:firstLine="420" w:firstLineChars="200"/>
            </w:pPr>
            <w:r>
              <w:rPr>
                <w:rFonts w:hint="eastAsia"/>
              </w:rPr>
              <w:t>对识别出的危险源采取D=LEC进行评价，查到“不可接受风险清单”，经评价财务部的重大危险源有潜在触电、意外伤害事故。</w:t>
            </w:r>
          </w:p>
          <w:p>
            <w:pPr>
              <w:pStyle w:val="2"/>
              <w:ind w:firstLine="460" w:firstLineChars="200"/>
              <w:rPr>
                <w:szCs w:val="22"/>
              </w:rPr>
            </w:pPr>
            <w:r>
              <w:rPr>
                <w:rFonts w:hint="eastAsia"/>
              </w:rPr>
              <w:t>策划了控制措施，制订了“环境安全管理方案”，明确了控制措施、时间要求、责任部门、责任和资源计划。</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spacing w:line="360" w:lineRule="auto"/>
              <w:rPr>
                <w:rFonts w:ascii="宋体" w:hAnsi="宋体" w:cs="Arial"/>
                <w:spacing w:val="-6"/>
                <w:szCs w:val="21"/>
              </w:rPr>
            </w:pPr>
            <w:r>
              <w:rPr>
                <w:rFonts w:hint="eastAsia" w:ascii="宋体" w:hAnsi="宋体" w:cs="Arial"/>
                <w:spacing w:val="-6"/>
                <w:szCs w:val="21"/>
              </w:rPr>
              <w:t>运行策划和控制</w:t>
            </w:r>
          </w:p>
        </w:tc>
        <w:tc>
          <w:tcPr>
            <w:tcW w:w="1095" w:type="dxa"/>
          </w:tcPr>
          <w:p>
            <w:pPr>
              <w:spacing w:line="360" w:lineRule="auto"/>
              <w:jc w:val="center"/>
              <w:rPr>
                <w:rFonts w:ascii="宋体" w:hAnsi="宋体" w:cs="Arial"/>
                <w:spacing w:val="-6"/>
                <w:szCs w:val="21"/>
              </w:rPr>
            </w:pPr>
            <w:r>
              <w:rPr>
                <w:rFonts w:hint="eastAsia" w:ascii="宋体" w:hAnsi="宋体" w:cs="Arial"/>
                <w:spacing w:val="-6"/>
                <w:szCs w:val="21"/>
              </w:rPr>
              <w:t>O:8.1</w:t>
            </w:r>
          </w:p>
        </w:tc>
        <w:tc>
          <w:tcPr>
            <w:tcW w:w="10004" w:type="dxa"/>
          </w:tcPr>
          <w:p>
            <w:pPr>
              <w:spacing w:line="360" w:lineRule="auto"/>
              <w:ind w:firstLine="420" w:firstLineChars="200"/>
              <w:rPr>
                <w:szCs w:val="22"/>
              </w:rPr>
            </w:pPr>
            <w:r>
              <w:rPr>
                <w:rFonts w:hint="eastAsia"/>
                <w:szCs w:val="22"/>
              </w:rPr>
              <w:t>公司策划了环境安全管理相关程序文件和管理制度：</w:t>
            </w:r>
          </w:p>
          <w:p>
            <w:pPr>
              <w:spacing w:line="360" w:lineRule="auto"/>
              <w:ind w:firstLine="420" w:firstLineChars="200"/>
              <w:rPr>
                <w:szCs w:val="22"/>
              </w:rPr>
            </w:pPr>
            <w:r>
              <w:rPr>
                <w:rFonts w:hint="eastAsia"/>
                <w:szCs w:val="22"/>
              </w:rPr>
              <w:t>清洁服务管理程序、废弃物控制程序、节能降耗控制程序、与顾客有关的要求控制程序、资源能源控制程序、应急准备和响应控制程序等；</w:t>
            </w:r>
          </w:p>
          <w:p>
            <w:pPr>
              <w:spacing w:line="360" w:lineRule="auto"/>
              <w:ind w:firstLine="420" w:firstLineChars="200"/>
              <w:rPr>
                <w:szCs w:val="22"/>
              </w:rPr>
            </w:pPr>
            <w:r>
              <w:rPr>
                <w:rFonts w:hint="eastAsia"/>
                <w:szCs w:val="22"/>
              </w:rPr>
              <w:t>《湖北顶洁企业管理有限公司岗位职责》 规定了市场部、财务部、综合管理部的具体职责。《员工工作职责及流程》，有工资发放、工伤处理、离职管理、市场开发等内容。</w:t>
            </w:r>
          </w:p>
          <w:p>
            <w:pPr>
              <w:spacing w:line="360" w:lineRule="auto"/>
              <w:ind w:firstLine="420" w:firstLineChars="200"/>
            </w:pPr>
            <w:r>
              <w:rPr>
                <w:rFonts w:hint="eastAsia"/>
              </w:rPr>
              <w:t>现场观察：配置的办公桌符合人机工程要求，干净整洁，照明、通风良好；配置有空调，温度适宜。</w:t>
            </w:r>
          </w:p>
          <w:p>
            <w:pPr>
              <w:spacing w:line="360" w:lineRule="auto"/>
              <w:ind w:firstLine="420" w:firstLineChars="200"/>
            </w:pPr>
            <w:r>
              <w:rPr>
                <w:rFonts w:hint="eastAsia"/>
              </w:rPr>
              <w:t>查见配置有灭火器、状态良好，保留检查记录；监控摄像头运行正常；应急疏散指示符合要求；</w:t>
            </w:r>
          </w:p>
          <w:p>
            <w:pPr>
              <w:spacing w:line="360" w:lineRule="auto"/>
              <w:ind w:firstLine="420" w:firstLineChars="200"/>
            </w:pPr>
            <w:r>
              <w:rPr>
                <w:rFonts w:hint="eastAsia"/>
              </w:rPr>
              <w:t>节约用水用电、纸张双面使用、禁止吸烟、无乱拉乱接电线、无超额电器使用；</w:t>
            </w:r>
          </w:p>
          <w:p>
            <w:pPr>
              <w:spacing w:line="360" w:lineRule="auto"/>
              <w:ind w:firstLine="420" w:firstLineChars="200"/>
            </w:pPr>
            <w:r>
              <w:rPr>
                <w:rFonts w:hint="eastAsia"/>
              </w:rPr>
              <w:t>生活废水经市政管网排放；无工业废水；</w:t>
            </w:r>
          </w:p>
          <w:p>
            <w:pPr>
              <w:spacing w:line="360" w:lineRule="auto"/>
              <w:ind w:firstLine="420" w:firstLineChars="200"/>
            </w:pPr>
            <w:r>
              <w:rPr>
                <w:rFonts w:hint="eastAsia"/>
              </w:rPr>
              <w:t>办公环境安静，无明显噪声和废气；</w:t>
            </w:r>
          </w:p>
          <w:p>
            <w:pPr>
              <w:spacing w:line="360" w:lineRule="auto"/>
              <w:ind w:firstLine="420" w:firstLineChars="200"/>
            </w:pPr>
            <w:r>
              <w:rPr>
                <w:rFonts w:hint="eastAsia"/>
              </w:rPr>
              <w:t>办公用固废集中回收，市政环卫部门收集处理；</w:t>
            </w:r>
          </w:p>
          <w:p>
            <w:pPr>
              <w:spacing w:line="360" w:lineRule="auto"/>
              <w:ind w:firstLine="420" w:firstLineChars="200"/>
              <w:rPr>
                <w:szCs w:val="22"/>
              </w:rPr>
            </w:pPr>
            <w:r>
              <w:rPr>
                <w:rFonts w:hint="eastAsia"/>
              </w:rPr>
              <w:t>办公用墨盒硒鼓等危废以旧换新。</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spacing w:line="360" w:lineRule="auto"/>
              <w:rPr>
                <w:rFonts w:ascii="宋体" w:hAnsi="宋体" w:cs="Arial"/>
                <w:spacing w:val="-6"/>
                <w:szCs w:val="21"/>
              </w:rPr>
            </w:pPr>
            <w:r>
              <w:rPr>
                <w:rFonts w:hint="eastAsia" w:ascii="宋体" w:hAnsi="宋体" w:cs="Arial"/>
                <w:spacing w:val="-6"/>
                <w:szCs w:val="21"/>
              </w:rPr>
              <w:t>应急准备和响应</w:t>
            </w:r>
          </w:p>
        </w:tc>
        <w:tc>
          <w:tcPr>
            <w:tcW w:w="1095" w:type="dxa"/>
          </w:tcPr>
          <w:p>
            <w:pPr>
              <w:spacing w:line="360" w:lineRule="auto"/>
              <w:jc w:val="center"/>
              <w:rPr>
                <w:rFonts w:ascii="宋体" w:hAnsi="宋体" w:cs="Arial"/>
                <w:spacing w:val="-6"/>
                <w:szCs w:val="21"/>
              </w:rPr>
            </w:pPr>
            <w:r>
              <w:rPr>
                <w:rFonts w:ascii="宋体" w:hAnsi="宋体" w:cs="Arial"/>
                <w:spacing w:val="-6"/>
                <w:szCs w:val="21"/>
              </w:rPr>
              <w:t>O</w:t>
            </w:r>
            <w:r>
              <w:rPr>
                <w:rFonts w:hint="eastAsia" w:ascii="宋体" w:hAnsi="宋体" w:cs="Arial"/>
                <w:spacing w:val="-6"/>
                <w:szCs w:val="21"/>
              </w:rPr>
              <w:t>:8.2</w:t>
            </w:r>
          </w:p>
        </w:tc>
        <w:tc>
          <w:tcPr>
            <w:tcW w:w="10004" w:type="dxa"/>
          </w:tcPr>
          <w:p>
            <w:pPr>
              <w:spacing w:line="360" w:lineRule="auto"/>
              <w:ind w:firstLine="420" w:firstLineChars="200"/>
              <w:rPr>
                <w:rFonts w:hint="eastAsia"/>
              </w:rPr>
            </w:pPr>
            <w:r>
              <w:rPr>
                <w:rFonts w:hint="eastAsia"/>
              </w:rPr>
              <w:t xml:space="preserve"> 2021年</w:t>
            </w:r>
            <w:r>
              <w:rPr>
                <w:rFonts w:hint="eastAsia"/>
                <w:lang w:val="en-US" w:eastAsia="zh-CN"/>
              </w:rPr>
              <w:t>5</w:t>
            </w:r>
            <w:r>
              <w:rPr>
                <w:rFonts w:hint="eastAsia"/>
              </w:rPr>
              <w:t>月2</w:t>
            </w:r>
            <w:r>
              <w:rPr>
                <w:rFonts w:hint="eastAsia"/>
                <w:lang w:val="en-US" w:eastAsia="zh-CN"/>
              </w:rPr>
              <w:t>6</w:t>
            </w:r>
            <w:r>
              <w:rPr>
                <w:rFonts w:hint="eastAsia"/>
              </w:rPr>
              <w:t xml:space="preserve"> 市场部</w:t>
            </w:r>
            <w:r>
              <w:rPr>
                <w:rFonts w:hint="eastAsia"/>
              </w:rPr>
              <w:t>参加了公司组织的全体有关的</w:t>
            </w:r>
            <w:r>
              <w:rPr>
                <w:rFonts w:hint="eastAsia"/>
                <w:lang w:val="en-US" w:eastAsia="zh-CN"/>
              </w:rPr>
              <w:t>触电应急</w:t>
            </w:r>
            <w:r>
              <w:rPr>
                <w:rFonts w:hint="eastAsia"/>
              </w:rPr>
              <w:t>演习，有演练记录。</w:t>
            </w:r>
          </w:p>
          <w:p>
            <w:pPr>
              <w:pStyle w:val="2"/>
              <w:rPr>
                <w:rFonts w:hint="eastAsia"/>
              </w:rPr>
            </w:pPr>
            <w:r>
              <w:rPr>
                <w:rFonts w:hint="eastAsia"/>
              </w:rPr>
              <w:t>应急准备和响应实施方案具有可操作性，应急求援人员已基本掌握该方案，能够应付突发事件。</w:t>
            </w:r>
          </w:p>
          <w:p>
            <w:pPr>
              <w:pStyle w:val="2"/>
            </w:pPr>
            <w:r>
              <w:rPr>
                <w:rFonts w:hint="eastAsia"/>
              </w:rPr>
              <w:t>自体系运行以来未出现应急事故情况。</w:t>
            </w:r>
            <w:bookmarkStart w:id="0" w:name="_GoBack"/>
            <w:bookmarkEnd w:id="0"/>
          </w:p>
        </w:tc>
        <w:tc>
          <w:tcPr>
            <w:tcW w:w="1585" w:type="dxa"/>
          </w:tcPr>
          <w:p>
            <w:pPr>
              <w:spacing w:line="360" w:lineRule="auto"/>
            </w:pPr>
            <w:r>
              <w:rPr>
                <w:rFonts w:hint="eastAsia"/>
              </w:rPr>
              <w:t>Y</w:t>
            </w: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7C"/>
    <w:rsid w:val="003D43B0"/>
    <w:rsid w:val="00431969"/>
    <w:rsid w:val="0063557C"/>
    <w:rsid w:val="00954ADE"/>
    <w:rsid w:val="009734C9"/>
    <w:rsid w:val="009A4BBC"/>
    <w:rsid w:val="009F5013"/>
    <w:rsid w:val="00F944C6"/>
    <w:rsid w:val="02CF07A5"/>
    <w:rsid w:val="0DA35D35"/>
    <w:rsid w:val="23062C8B"/>
    <w:rsid w:val="24BB750B"/>
    <w:rsid w:val="2607287F"/>
    <w:rsid w:val="32D30943"/>
    <w:rsid w:val="34B60370"/>
    <w:rsid w:val="3EDE6C33"/>
    <w:rsid w:val="40081862"/>
    <w:rsid w:val="40C34F59"/>
    <w:rsid w:val="4FDA59F6"/>
    <w:rsid w:val="59D1368B"/>
    <w:rsid w:val="60F73305"/>
    <w:rsid w:val="65B579E1"/>
    <w:rsid w:val="69842B01"/>
    <w:rsid w:val="69EE4A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ind w:firstLine="7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219</Words>
  <Characters>1254</Characters>
  <Lines>10</Lines>
  <Paragraphs>2</Paragraphs>
  <TotalTime>1</TotalTime>
  <ScaleCrop>false</ScaleCrop>
  <LinksUpToDate>false</LinksUpToDate>
  <CharactersWithSpaces>1471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2022-01-12T17:34:27Z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1E60FE9D17D34E09A653B9AF6D5D289D</vt:lpwstr>
  </property>
</Properties>
</file>