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246"/>
        <w:gridCol w:w="10637"/>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7" w:type="dxa"/>
            <w:vMerge w:val="restart"/>
            <w:vAlign w:val="center"/>
          </w:tcPr>
          <w:p>
            <w:pPr>
              <w:spacing w:before="120" w:line="360" w:lineRule="auto"/>
              <w:jc w:val="left"/>
              <w:rPr>
                <w:rFonts w:hint="eastAsia" w:ascii="等线" w:hAnsi="等线" w:eastAsia="等线" w:cs="等线"/>
                <w:sz w:val="21"/>
                <w:szCs w:val="21"/>
              </w:rPr>
            </w:pPr>
            <w:r>
              <w:rPr>
                <w:rFonts w:hint="eastAsia" w:ascii="等线" w:hAnsi="等线" w:eastAsia="等线" w:cs="等线"/>
                <w:sz w:val="21"/>
                <w:szCs w:val="21"/>
              </w:rPr>
              <w:t>过程与动、</w:t>
            </w:r>
          </w:p>
          <w:p>
            <w:pPr>
              <w:spacing w:line="360" w:lineRule="auto"/>
              <w:jc w:val="left"/>
              <w:rPr>
                <w:rFonts w:hint="eastAsia" w:ascii="等线" w:hAnsi="等线" w:eastAsia="等线" w:cs="等线"/>
                <w:sz w:val="21"/>
                <w:szCs w:val="21"/>
              </w:rPr>
            </w:pPr>
            <w:r>
              <w:rPr>
                <w:rFonts w:hint="eastAsia" w:ascii="等线" w:hAnsi="等线" w:eastAsia="等线" w:cs="等线"/>
                <w:sz w:val="21"/>
                <w:szCs w:val="21"/>
              </w:rPr>
              <w:t>抽样计划</w:t>
            </w:r>
          </w:p>
        </w:tc>
        <w:tc>
          <w:tcPr>
            <w:tcW w:w="1246" w:type="dxa"/>
            <w:vMerge w:val="restart"/>
            <w:vAlign w:val="center"/>
          </w:tcPr>
          <w:p>
            <w:pPr>
              <w:spacing w:before="120"/>
              <w:rPr>
                <w:rFonts w:hint="eastAsia" w:ascii="等线" w:hAnsi="等线" w:eastAsia="等线" w:cs="等线"/>
                <w:sz w:val="21"/>
                <w:szCs w:val="21"/>
              </w:rPr>
            </w:pPr>
            <w:r>
              <w:rPr>
                <w:rFonts w:hint="eastAsia" w:ascii="等线" w:hAnsi="等线" w:eastAsia="等线" w:cs="等线"/>
                <w:sz w:val="21"/>
                <w:szCs w:val="21"/>
              </w:rPr>
              <w:t>涉及条款</w:t>
            </w:r>
          </w:p>
        </w:tc>
        <w:tc>
          <w:tcPr>
            <w:tcW w:w="10637" w:type="dxa"/>
            <w:vAlign w:val="center"/>
          </w:tcPr>
          <w:p>
            <w:pPr>
              <w:spacing w:before="12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受审核部门：财务部   </w:t>
            </w:r>
            <w:r>
              <w:rPr>
                <w:rFonts w:hint="eastAsia" w:ascii="等线" w:hAnsi="等线" w:eastAsia="等线" w:cs="等线"/>
                <w:sz w:val="21"/>
                <w:szCs w:val="21"/>
              </w:rPr>
              <w:t>主管领导/陪同人员</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杨卫芳/汪藕</w:t>
            </w:r>
          </w:p>
        </w:tc>
        <w:tc>
          <w:tcPr>
            <w:tcW w:w="1299"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7" w:type="dxa"/>
            <w:vMerge w:val="continue"/>
            <w:vAlign w:val="center"/>
          </w:tcPr>
          <w:p>
            <w:pPr>
              <w:spacing w:line="360" w:lineRule="auto"/>
              <w:rPr>
                <w:rFonts w:hint="eastAsia" w:ascii="等线" w:hAnsi="等线" w:eastAsia="等线" w:cs="等线"/>
                <w:sz w:val="21"/>
                <w:szCs w:val="21"/>
              </w:rPr>
            </w:pPr>
          </w:p>
        </w:tc>
        <w:tc>
          <w:tcPr>
            <w:tcW w:w="1246" w:type="dxa"/>
            <w:vMerge w:val="continue"/>
            <w:vAlign w:val="center"/>
          </w:tcPr>
          <w:p>
            <w:pPr>
              <w:spacing w:before="120"/>
              <w:rPr>
                <w:rFonts w:hint="eastAsia" w:ascii="等线" w:hAnsi="等线" w:eastAsia="等线" w:cs="等线"/>
                <w:sz w:val="21"/>
                <w:szCs w:val="21"/>
              </w:rPr>
            </w:pPr>
          </w:p>
        </w:tc>
        <w:tc>
          <w:tcPr>
            <w:tcW w:w="10637"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 xml:space="preserve"> 王献华 </w:t>
            </w:r>
            <w:r>
              <w:rPr>
                <w:rFonts w:hint="eastAsia" w:ascii="等线" w:hAnsi="等线" w:eastAsia="等线" w:cs="等线"/>
                <w:sz w:val="21"/>
                <w:szCs w:val="21"/>
              </w:rPr>
              <w:t xml:space="preserve">  审核时间：202</w:t>
            </w:r>
            <w:r>
              <w:rPr>
                <w:rFonts w:hint="eastAsia" w:ascii="等线" w:hAnsi="等线" w:eastAsia="等线" w:cs="等线"/>
                <w:sz w:val="21"/>
                <w:szCs w:val="21"/>
                <w:lang w:val="en-US" w:eastAsia="zh-CN"/>
              </w:rPr>
              <w:t>1.12</w:t>
            </w:r>
            <w:r>
              <w:rPr>
                <w:rFonts w:hint="eastAsia" w:ascii="等线" w:hAnsi="等线" w:eastAsia="等线" w:cs="等线"/>
                <w:sz w:val="21"/>
                <w:szCs w:val="21"/>
              </w:rPr>
              <w:t>.</w:t>
            </w:r>
            <w:r>
              <w:rPr>
                <w:rFonts w:hint="eastAsia" w:ascii="等线" w:hAnsi="等线" w:eastAsia="等线" w:cs="等线"/>
                <w:sz w:val="21"/>
                <w:szCs w:val="21"/>
                <w:lang w:val="en-US" w:eastAsia="zh-CN"/>
              </w:rPr>
              <w:t>22 11:30~12:00</w:t>
            </w:r>
          </w:p>
        </w:tc>
        <w:tc>
          <w:tcPr>
            <w:tcW w:w="1299"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vMerge w:val="continue"/>
            <w:vAlign w:val="center"/>
          </w:tcPr>
          <w:p>
            <w:pPr>
              <w:spacing w:line="360" w:lineRule="auto"/>
              <w:rPr>
                <w:rFonts w:hint="eastAsia" w:ascii="等线" w:hAnsi="等线" w:eastAsia="等线" w:cs="等线"/>
                <w:sz w:val="21"/>
                <w:szCs w:val="21"/>
              </w:rPr>
            </w:pPr>
          </w:p>
        </w:tc>
        <w:tc>
          <w:tcPr>
            <w:tcW w:w="1246" w:type="dxa"/>
            <w:vMerge w:val="continue"/>
            <w:vAlign w:val="center"/>
          </w:tcPr>
          <w:p>
            <w:pPr>
              <w:spacing w:before="120"/>
              <w:rPr>
                <w:rFonts w:hint="eastAsia" w:ascii="等线" w:hAnsi="等线" w:eastAsia="等线" w:cs="等线"/>
                <w:sz w:val="21"/>
                <w:szCs w:val="21"/>
              </w:rPr>
            </w:pPr>
          </w:p>
        </w:tc>
        <w:tc>
          <w:tcPr>
            <w:tcW w:w="10637" w:type="dxa"/>
            <w:vAlign w:val="center"/>
          </w:tcPr>
          <w:p>
            <w:pPr>
              <w:spacing w:before="12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QES：</w:t>
            </w:r>
            <w:r>
              <w:rPr>
                <w:rFonts w:hint="eastAsia" w:ascii="等线" w:hAnsi="等线" w:eastAsia="等线" w:cs="等线"/>
                <w:sz w:val="21"/>
                <w:szCs w:val="21"/>
              </w:rPr>
              <w:t>5.3组织的角色、职责和权限、6.1.2环境因素</w:t>
            </w:r>
            <w:r>
              <w:rPr>
                <w:rFonts w:hint="eastAsia" w:ascii="等线" w:hAnsi="等线" w:eastAsia="等线" w:cs="等线"/>
                <w:sz w:val="21"/>
                <w:szCs w:val="21"/>
                <w:lang w:val="en-US" w:eastAsia="zh-CN"/>
              </w:rPr>
              <w:t>/</w:t>
            </w:r>
            <w:r>
              <w:rPr>
                <w:rFonts w:hint="eastAsia" w:ascii="等线" w:hAnsi="等线" w:eastAsia="等线" w:cs="等线"/>
                <w:kern w:val="0"/>
                <w:sz w:val="21"/>
                <w:szCs w:val="21"/>
              </w:rPr>
              <w:t>险源</w:t>
            </w:r>
            <w:r>
              <w:rPr>
                <w:rFonts w:hint="eastAsia" w:ascii="等线" w:hAnsi="等线" w:eastAsia="等线" w:cs="等线"/>
                <w:kern w:val="0"/>
                <w:sz w:val="21"/>
                <w:szCs w:val="21"/>
                <w:lang w:val="en-US" w:eastAsia="zh-CN"/>
              </w:rPr>
              <w:t>辨识（ES）</w:t>
            </w:r>
            <w:r>
              <w:rPr>
                <w:rFonts w:hint="eastAsia" w:ascii="等线" w:hAnsi="等线" w:eastAsia="等线" w:cs="等线"/>
                <w:sz w:val="21"/>
                <w:szCs w:val="21"/>
              </w:rPr>
              <w:t>；6.2目标及其达成的策划；7.1资源；8.1运行策划和控制；8.2应急准备和响应</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10.2不符合及其纠正措施</w:t>
            </w:r>
          </w:p>
        </w:tc>
        <w:tc>
          <w:tcPr>
            <w:tcW w:w="1299"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27" w:type="dxa"/>
            <w:vAlign w:val="top"/>
          </w:tcPr>
          <w:p>
            <w:pPr>
              <w:spacing w:before="1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组织的角色、职责和权限</w:t>
            </w:r>
          </w:p>
        </w:tc>
        <w:tc>
          <w:tcPr>
            <w:tcW w:w="1246" w:type="dxa"/>
            <w:vAlign w:val="top"/>
          </w:tcPr>
          <w:p>
            <w:pPr>
              <w:spacing w:before="12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lang w:val="en-US" w:eastAsia="zh-CN"/>
              </w:rPr>
              <w:t>5.3</w:t>
            </w:r>
          </w:p>
        </w:tc>
        <w:tc>
          <w:tcPr>
            <w:tcW w:w="10637" w:type="dxa"/>
            <w:vAlign w:val="center"/>
          </w:tcPr>
          <w:p>
            <w:pPr>
              <w:spacing w:before="120"/>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审核发现行政部主要负责以下工作内容：</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按照国家有关法规健全财务核算体系为企业经济活动及时提供依据；</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编制年度财务预算计划、成本控制计划，切实做好财务监控管理工作，出现异常及时上报总经理；</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负责实现质量环境安全方针、目标所需的财务资源，搞好运行成本核算；</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严格执行质量环境安全管理有关规定，对未经检验合格的进货物资有权拒绝结款；</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按照财务规定做好企业经济核算工作，促进增收节支降低成本，提高企业的经济效益；</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负责外购、外协等款项的支付和应收款登记等工作；</w:t>
            </w:r>
          </w:p>
          <w:p>
            <w:pPr>
              <w:spacing w:before="120"/>
              <w:ind w:firstLine="420" w:firstLineChars="200"/>
              <w:rPr>
                <w:rFonts w:hint="eastAsia" w:ascii="等线" w:hAnsi="等线" w:eastAsia="等线" w:cs="等线"/>
                <w:sz w:val="21"/>
                <w:szCs w:val="21"/>
              </w:rPr>
            </w:pPr>
            <w:r>
              <w:rPr>
                <w:rFonts w:hint="eastAsia" w:ascii="等线" w:hAnsi="等线" w:eastAsia="等线" w:cs="等线"/>
                <w:sz w:val="21"/>
                <w:szCs w:val="21"/>
              </w:rPr>
              <w:t>识别和评价本部门环境因素和危险源，遵守运行控制相关规定、参加应急准备和演练。</w:t>
            </w:r>
          </w:p>
          <w:p>
            <w:pPr>
              <w:spacing w:before="120"/>
              <w:ind w:firstLine="420" w:firstLineChars="200"/>
              <w:rPr>
                <w:rFonts w:hint="eastAsia" w:ascii="宋体" w:hAnsi="宋体" w:eastAsia="宋体" w:cs="宋体"/>
                <w:sz w:val="21"/>
                <w:szCs w:val="21"/>
                <w:lang w:val="en-US" w:eastAsia="zh-CN"/>
              </w:rPr>
            </w:pPr>
            <w:r>
              <w:rPr>
                <w:rFonts w:hint="eastAsia" w:ascii="等线" w:hAnsi="等线" w:eastAsia="等线" w:cs="等线"/>
                <w:sz w:val="21"/>
                <w:szCs w:val="21"/>
                <w:lang w:val="en-US" w:eastAsia="zh-CN"/>
              </w:rPr>
              <w:t>与财务部负责人杨卫芳沟通，描述的职责和权限与一体化管理体系的职能分配表基本一致。</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tcPr>
          <w:p>
            <w:pPr>
              <w:spacing w:before="1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环境因素和险源辨识和职业安全风险评价</w:t>
            </w:r>
          </w:p>
        </w:tc>
        <w:tc>
          <w:tcPr>
            <w:tcW w:w="1246" w:type="dxa"/>
          </w:tcPr>
          <w:p>
            <w:pPr>
              <w:spacing w:before="12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lang w:val="en-US" w:eastAsia="zh-CN"/>
              </w:rPr>
              <w:t>6.1.2</w:t>
            </w:r>
          </w:p>
          <w:p>
            <w:pPr>
              <w:spacing w:before="120"/>
              <w:jc w:val="both"/>
              <w:rPr>
                <w:rFonts w:hint="eastAsia" w:ascii="宋体" w:hAnsi="宋体" w:eastAsia="宋体" w:cs="宋体"/>
                <w:sz w:val="21"/>
                <w:szCs w:val="21"/>
                <w:lang w:val="en-US" w:eastAsia="zh-CN"/>
              </w:rPr>
            </w:pPr>
          </w:p>
        </w:tc>
        <w:tc>
          <w:tcPr>
            <w:tcW w:w="10637" w:type="dxa"/>
          </w:tcPr>
          <w:p>
            <w:pPr>
              <w:pStyle w:val="16"/>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组织根据手册第6.1.2条款、《环境因素识别评价程序》要求，由财务部负责指导各部门环境因素的调查、评价、汇总、登记、审定及更新，各部门负责组织实施，财务部负责汇总整理。</w:t>
            </w:r>
          </w:p>
          <w:p>
            <w:pPr>
              <w:pStyle w:val="16"/>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查看组织《环境因素识别评价表》，组织在办公区等场所，按照活动过程调查、识别和确定了环境因素及其环境影响，对环境因素的□正常□异常□紧急状态进行评价，对应责任人明确，有评价日期，基本满足环境因素识别、确定和保持要求。</w:t>
            </w:r>
          </w:p>
          <w:p>
            <w:pPr>
              <w:pStyle w:val="16"/>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组织按照《环境因素识别评价程序》准则确定了重要环境因素，抽查组织重要环境因素内容如下：</w:t>
            </w:r>
          </w:p>
          <w:tbl>
            <w:tblPr>
              <w:tblStyle w:val="13"/>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序号</w:t>
                  </w:r>
                </w:p>
              </w:tc>
              <w:tc>
                <w:tcPr>
                  <w:tcW w:w="136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环境因素</w:t>
                  </w:r>
                </w:p>
              </w:tc>
              <w:tc>
                <w:tcPr>
                  <w:tcW w:w="3157"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活动点/工序或部位</w:t>
                  </w:r>
                </w:p>
              </w:tc>
              <w:tc>
                <w:tcPr>
                  <w:tcW w:w="1843" w:type="dxa"/>
                  <w:noWrap w:val="0"/>
                  <w:vAlign w:val="center"/>
                </w:tcPr>
                <w:p>
                  <w:pPr>
                    <w:ind w:left="-737" w:leftChars="-351" w:firstLine="644" w:firstLineChars="307"/>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环境影响</w:t>
                  </w:r>
                </w:p>
              </w:tc>
              <w:tc>
                <w:tcPr>
                  <w:tcW w:w="12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时态/状态</w:t>
                  </w:r>
                </w:p>
              </w:tc>
              <w:tc>
                <w:tcPr>
                  <w:tcW w:w="171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30" w:type="dxa"/>
                  <w:vMerge w:val="restart"/>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1</w:t>
                  </w:r>
                </w:p>
              </w:tc>
              <w:tc>
                <w:tcPr>
                  <w:tcW w:w="1360" w:type="dxa"/>
                  <w:vMerge w:val="restart"/>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潜在火灾事故的发生</w:t>
                  </w:r>
                </w:p>
              </w:tc>
              <w:tc>
                <w:tcPr>
                  <w:tcW w:w="3157" w:type="dxa"/>
                  <w:tcBorders>
                    <w:bottom w:val="single" w:color="auto" w:sz="4" w:space="0"/>
                  </w:tcBorders>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办公室的易燃物品管理不慎，吸烟等明火引发的火灾</w:t>
                  </w:r>
                </w:p>
              </w:tc>
              <w:tc>
                <w:tcPr>
                  <w:tcW w:w="1843" w:type="dxa"/>
                  <w:vMerge w:val="restart"/>
                  <w:noWrap w:val="0"/>
                  <w:vAlign w:val="center"/>
                </w:tcPr>
                <w:p>
                  <w:pPr>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大气污染</w:t>
                  </w:r>
                </w:p>
              </w:tc>
              <w:tc>
                <w:tcPr>
                  <w:tcW w:w="1230" w:type="dxa"/>
                  <w:vMerge w:val="restart"/>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将来/紧急</w:t>
                  </w:r>
                </w:p>
              </w:tc>
              <w:tc>
                <w:tcPr>
                  <w:tcW w:w="1710" w:type="dxa"/>
                  <w:vMerge w:val="restart"/>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应急准备与响应程序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430" w:type="dxa"/>
                  <w:vMerge w:val="continue"/>
                  <w:noWrap w:val="0"/>
                  <w:vAlign w:val="center"/>
                </w:tcPr>
                <w:p>
                  <w:pPr>
                    <w:jc w:val="center"/>
                    <w:rPr>
                      <w:rFonts w:hint="eastAsia" w:ascii="等线" w:hAnsi="等线" w:eastAsia="等线" w:cs="等线"/>
                      <w:bCs w:val="0"/>
                      <w:spacing w:val="0"/>
                      <w:kern w:val="2"/>
                      <w:sz w:val="21"/>
                      <w:szCs w:val="21"/>
                      <w:lang w:val="en-US" w:eastAsia="zh-CN" w:bidi="ar-SA"/>
                    </w:rPr>
                  </w:pPr>
                </w:p>
              </w:tc>
              <w:tc>
                <w:tcPr>
                  <w:tcW w:w="1360" w:type="dxa"/>
                  <w:vMerge w:val="continue"/>
                  <w:noWrap w:val="0"/>
                  <w:vAlign w:val="center"/>
                </w:tcPr>
                <w:p>
                  <w:pPr>
                    <w:jc w:val="center"/>
                    <w:rPr>
                      <w:rFonts w:hint="eastAsia" w:ascii="等线" w:hAnsi="等线" w:eastAsia="等线" w:cs="等线"/>
                      <w:bCs w:val="0"/>
                      <w:spacing w:val="0"/>
                      <w:kern w:val="2"/>
                      <w:sz w:val="21"/>
                      <w:szCs w:val="21"/>
                      <w:lang w:val="en-US" w:eastAsia="zh-CN" w:bidi="ar-SA"/>
                    </w:rPr>
                  </w:pPr>
                </w:p>
              </w:tc>
              <w:tc>
                <w:tcPr>
                  <w:tcW w:w="3157" w:type="dxa"/>
                  <w:tcBorders>
                    <w:bottom w:val="single" w:color="auto" w:sz="4" w:space="0"/>
                  </w:tcBorders>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电器短路火灾的发生</w:t>
                  </w:r>
                </w:p>
              </w:tc>
              <w:tc>
                <w:tcPr>
                  <w:tcW w:w="1843" w:type="dxa"/>
                  <w:vMerge w:val="continue"/>
                  <w:noWrap w:val="0"/>
                  <w:vAlign w:val="top"/>
                </w:tcPr>
                <w:p>
                  <w:pPr>
                    <w:rPr>
                      <w:rFonts w:hint="eastAsia" w:ascii="等线" w:hAnsi="等线" w:eastAsia="等线" w:cs="等线"/>
                      <w:bCs w:val="0"/>
                      <w:spacing w:val="0"/>
                      <w:kern w:val="2"/>
                      <w:sz w:val="21"/>
                      <w:szCs w:val="21"/>
                      <w:lang w:val="en-US" w:eastAsia="zh-CN" w:bidi="ar-SA"/>
                    </w:rPr>
                  </w:pPr>
                </w:p>
              </w:tc>
              <w:tc>
                <w:tcPr>
                  <w:tcW w:w="1230" w:type="dxa"/>
                  <w:vMerge w:val="continue"/>
                  <w:noWrap w:val="0"/>
                  <w:vAlign w:val="top"/>
                </w:tcPr>
                <w:p>
                  <w:pPr>
                    <w:rPr>
                      <w:rFonts w:hint="eastAsia" w:ascii="等线" w:hAnsi="等线" w:eastAsia="等线" w:cs="等线"/>
                      <w:bCs w:val="0"/>
                      <w:spacing w:val="0"/>
                      <w:kern w:val="2"/>
                      <w:sz w:val="21"/>
                      <w:szCs w:val="21"/>
                      <w:lang w:val="en-US" w:eastAsia="zh-CN" w:bidi="ar-SA"/>
                    </w:rPr>
                  </w:pPr>
                </w:p>
              </w:tc>
              <w:tc>
                <w:tcPr>
                  <w:tcW w:w="1710" w:type="dxa"/>
                  <w:vMerge w:val="continue"/>
                  <w:noWrap w:val="0"/>
                  <w:vAlign w:val="top"/>
                </w:tcPr>
                <w:p>
                  <w:pPr>
                    <w:rPr>
                      <w:rFonts w:hint="eastAsia" w:ascii="等线" w:hAnsi="等线" w:eastAsia="等线" w:cs="等线"/>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430" w:type="dxa"/>
                  <w:vMerge w:val="restart"/>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2</w:t>
                  </w:r>
                </w:p>
              </w:tc>
              <w:tc>
                <w:tcPr>
                  <w:tcW w:w="1360" w:type="dxa"/>
                  <w:vMerge w:val="restart"/>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固废的排放</w:t>
                  </w:r>
                </w:p>
              </w:tc>
              <w:tc>
                <w:tcPr>
                  <w:tcW w:w="3157"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一般固废（生活垃圾的排放）</w:t>
                  </w:r>
                </w:p>
              </w:tc>
              <w:tc>
                <w:tcPr>
                  <w:tcW w:w="1843" w:type="dxa"/>
                  <w:vMerge w:val="restart"/>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固废的综合性污染</w:t>
                  </w:r>
                </w:p>
              </w:tc>
              <w:tc>
                <w:tcPr>
                  <w:tcW w:w="1230" w:type="dxa"/>
                  <w:vMerge w:val="restart"/>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现在/正常</w:t>
                  </w:r>
                </w:p>
              </w:tc>
              <w:tc>
                <w:tcPr>
                  <w:tcW w:w="1710" w:type="dxa"/>
                  <w:vMerge w:val="restart"/>
                  <w:noWrap w:val="0"/>
                  <w:vAlign w:val="center"/>
                </w:tcPr>
                <w:p>
                  <w:pP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运行控制、目标指标和方案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30" w:type="dxa"/>
                  <w:vMerge w:val="continue"/>
                  <w:noWrap w:val="0"/>
                  <w:vAlign w:val="center"/>
                </w:tcPr>
                <w:p>
                  <w:pPr>
                    <w:jc w:val="center"/>
                    <w:rPr>
                      <w:rFonts w:hint="eastAsia" w:ascii="等线" w:hAnsi="等线" w:eastAsia="等线" w:cs="等线"/>
                      <w:sz w:val="21"/>
                      <w:szCs w:val="21"/>
                    </w:rPr>
                  </w:pPr>
                </w:p>
              </w:tc>
              <w:tc>
                <w:tcPr>
                  <w:tcW w:w="1360" w:type="dxa"/>
                  <w:vMerge w:val="continue"/>
                  <w:noWrap w:val="0"/>
                  <w:vAlign w:val="center"/>
                </w:tcPr>
                <w:p>
                  <w:pPr>
                    <w:jc w:val="center"/>
                    <w:rPr>
                      <w:rFonts w:hint="eastAsia" w:ascii="等线" w:hAnsi="等线" w:eastAsia="等线" w:cs="等线"/>
                      <w:sz w:val="21"/>
                      <w:szCs w:val="21"/>
                    </w:rPr>
                  </w:pPr>
                </w:p>
              </w:tc>
              <w:tc>
                <w:tcPr>
                  <w:tcW w:w="3157"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办公固废（废电池、废硒鼓、墨盒）的排放</w:t>
                  </w:r>
                </w:p>
              </w:tc>
              <w:tc>
                <w:tcPr>
                  <w:tcW w:w="1843" w:type="dxa"/>
                  <w:vMerge w:val="continue"/>
                  <w:noWrap w:val="0"/>
                  <w:vAlign w:val="center"/>
                </w:tcPr>
                <w:p>
                  <w:pPr>
                    <w:rPr>
                      <w:rFonts w:hint="eastAsia" w:ascii="等线" w:hAnsi="等线" w:eastAsia="等线" w:cs="等线"/>
                      <w:sz w:val="21"/>
                      <w:szCs w:val="21"/>
                    </w:rPr>
                  </w:pPr>
                </w:p>
              </w:tc>
              <w:tc>
                <w:tcPr>
                  <w:tcW w:w="1230" w:type="dxa"/>
                  <w:vMerge w:val="continue"/>
                  <w:noWrap w:val="0"/>
                  <w:vAlign w:val="center"/>
                </w:tcPr>
                <w:p>
                  <w:pPr>
                    <w:rPr>
                      <w:rFonts w:hint="eastAsia" w:ascii="等线" w:hAnsi="等线" w:eastAsia="等线" w:cs="等线"/>
                      <w:sz w:val="21"/>
                      <w:szCs w:val="21"/>
                    </w:rPr>
                  </w:pPr>
                </w:p>
              </w:tc>
              <w:tc>
                <w:tcPr>
                  <w:tcW w:w="1710" w:type="dxa"/>
                  <w:vMerge w:val="continue"/>
                  <w:noWrap w:val="0"/>
                  <w:vAlign w:val="center"/>
                </w:tcPr>
                <w:p>
                  <w:pPr>
                    <w:rPr>
                      <w:rFonts w:hint="eastAsia" w:ascii="等线" w:hAnsi="等线" w:eastAsia="等线" w:cs="等线"/>
                      <w:sz w:val="21"/>
                      <w:szCs w:val="21"/>
                    </w:rPr>
                  </w:pPr>
                </w:p>
              </w:tc>
            </w:tr>
          </w:tbl>
          <w:p>
            <w:pPr>
              <w:pStyle w:val="16"/>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重要环境因素识别、评价与实际吻合，管理方案明确控制措施基本能够满足控制要求。</w:t>
            </w:r>
          </w:p>
          <w:p>
            <w:pPr>
              <w:ind w:right="48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根据手册6.1.2条款、《职业健康安全危险源辨识、风险评价控制程序》要求，由财务部负责编制《危险源登记评价表》，指导各职能部门（基层单位）开展危险、有害因素风险识别、评价，负责各职能部门（基层单位）风险评价记录的审查与控制效果有效性验证。组织有建立、更新《重要危险源清单》。抽查组织不可接受风险内容如下：</w:t>
            </w:r>
          </w:p>
          <w:tbl>
            <w:tblPr>
              <w:tblStyle w:val="13"/>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序号</w:t>
                  </w:r>
                </w:p>
              </w:tc>
              <w:tc>
                <w:tcPr>
                  <w:tcW w:w="237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活动点/工序/部位</w:t>
                  </w:r>
                </w:p>
              </w:tc>
              <w:tc>
                <w:tcPr>
                  <w:tcW w:w="249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潜在的危险因素</w:t>
                  </w:r>
                </w:p>
              </w:tc>
              <w:tc>
                <w:tcPr>
                  <w:tcW w:w="138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可能导致的结果</w:t>
                  </w:r>
                </w:p>
              </w:tc>
              <w:tc>
                <w:tcPr>
                  <w:tcW w:w="326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1</w:t>
                  </w:r>
                </w:p>
              </w:tc>
              <w:tc>
                <w:tcPr>
                  <w:tcW w:w="2370" w:type="dxa"/>
                  <w:noWrap w:val="0"/>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办公场所等区域的易燃品的堆放</w:t>
                  </w:r>
                </w:p>
              </w:tc>
              <w:tc>
                <w:tcPr>
                  <w:tcW w:w="2490" w:type="dxa"/>
                  <w:noWrap w:val="0"/>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出现明火引起的火灾</w:t>
                  </w:r>
                </w:p>
              </w:tc>
              <w:tc>
                <w:tcPr>
                  <w:tcW w:w="1380" w:type="dxa"/>
                  <w:noWrap w:val="0"/>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人员伤亡</w:t>
                  </w:r>
                </w:p>
              </w:tc>
              <w:tc>
                <w:tcPr>
                  <w:tcW w:w="3269" w:type="dxa"/>
                  <w:noWrap w:val="0"/>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目标和管理方案/应急准备和响应控制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64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2</w:t>
                  </w:r>
                </w:p>
              </w:tc>
              <w:tc>
                <w:tcPr>
                  <w:tcW w:w="237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办公用电</w:t>
                  </w:r>
                </w:p>
              </w:tc>
              <w:tc>
                <w:tcPr>
                  <w:tcW w:w="249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设备损坏，线路老化，电路设置不符合要求</w:t>
                  </w:r>
                </w:p>
              </w:tc>
              <w:tc>
                <w:tcPr>
                  <w:tcW w:w="138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人员触电，火灾事故等</w:t>
                  </w:r>
                </w:p>
              </w:tc>
              <w:tc>
                <w:tcPr>
                  <w:tcW w:w="326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jc w:val="center"/>
              </w:trPr>
              <w:tc>
                <w:tcPr>
                  <w:tcW w:w="64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3</w:t>
                  </w:r>
                </w:p>
              </w:tc>
              <w:tc>
                <w:tcPr>
                  <w:tcW w:w="237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职业健康安全</w:t>
                  </w:r>
                </w:p>
              </w:tc>
              <w:tc>
                <w:tcPr>
                  <w:tcW w:w="249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传染病的传播</w:t>
                  </w:r>
                </w:p>
              </w:tc>
              <w:tc>
                <w:tcPr>
                  <w:tcW w:w="138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职业健康安全</w:t>
                  </w:r>
                </w:p>
              </w:tc>
              <w:tc>
                <w:tcPr>
                  <w:tcW w:w="326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规范操作，佩戴防护用具</w:t>
                  </w:r>
                </w:p>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定期进行体检</w:t>
                  </w:r>
                </w:p>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制定应急预案，全员进行安全知识培训，提高自我防护意识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64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4</w:t>
                  </w:r>
                </w:p>
              </w:tc>
              <w:tc>
                <w:tcPr>
                  <w:tcW w:w="237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台风等自然灾害</w:t>
                  </w:r>
                </w:p>
              </w:tc>
              <w:tc>
                <w:tcPr>
                  <w:tcW w:w="249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自然灾害紧急情况</w:t>
                  </w:r>
                </w:p>
              </w:tc>
              <w:tc>
                <w:tcPr>
                  <w:tcW w:w="1380"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人员伤亡</w:t>
                  </w:r>
                </w:p>
              </w:tc>
              <w:tc>
                <w:tcPr>
                  <w:tcW w:w="3269" w:type="dxa"/>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做好防护和应急响应工作</w:t>
                  </w:r>
                </w:p>
              </w:tc>
            </w:tr>
          </w:tbl>
          <w:p>
            <w:pPr>
              <w:spacing w:line="280" w:lineRule="exact"/>
              <w:ind w:firstLine="420" w:firstLineChars="200"/>
              <w:jc w:val="both"/>
              <w:rPr>
                <w:rFonts w:ascii="楷体" w:hAnsi="楷体" w:eastAsia="楷体" w:cs="宋体"/>
                <w:color w:val="0070C0"/>
                <w:sz w:val="24"/>
                <w:szCs w:val="24"/>
              </w:rPr>
            </w:pPr>
            <w:r>
              <w:rPr>
                <w:rFonts w:hint="eastAsia" w:ascii="等线" w:hAnsi="等线" w:eastAsia="等线" w:cs="等线"/>
                <w:bCs w:val="0"/>
                <w:spacing w:val="0"/>
                <w:kern w:val="2"/>
                <w:sz w:val="21"/>
                <w:szCs w:val="21"/>
                <w:lang w:val="en-US" w:eastAsia="zh-CN" w:bidi="ar-SA"/>
              </w:rPr>
              <w:t>组织的职业健康安全风险与危险源辨识清单判定的内容一致，财务部负责人杨卫芳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29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目标及其达成的策划</w:t>
            </w:r>
          </w:p>
        </w:tc>
        <w:tc>
          <w:tcPr>
            <w:tcW w:w="1246"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lang w:val="en-US" w:eastAsia="zh-CN"/>
              </w:rPr>
              <w:t>6.2</w:t>
            </w:r>
          </w:p>
        </w:tc>
        <w:tc>
          <w:tcPr>
            <w:tcW w:w="10637" w:type="dxa"/>
          </w:tcPr>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涉及财务部的质量、环境和职业健康安全分解的管理目标包括：</w:t>
            </w:r>
          </w:p>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lang w:val="en-US" w:eastAsia="zh-CN"/>
              </w:rPr>
              <w:t>质量目标：1.</w:t>
            </w:r>
            <w:r>
              <w:rPr>
                <w:rFonts w:hint="eastAsia" w:ascii="等线" w:hAnsi="等线" w:eastAsia="等线" w:cs="等线"/>
                <w:bCs w:val="0"/>
                <w:spacing w:val="0"/>
                <w:kern w:val="2"/>
                <w:sz w:val="21"/>
                <w:szCs w:val="21"/>
                <w:lang w:val="en-US" w:eastAsia="zh-CN" w:bidi="ar-SA"/>
              </w:rPr>
              <w:t>人员能力合格率100%；2.采购产品合格率98%</w:t>
            </w:r>
            <w:r>
              <w:rPr>
                <w:rFonts w:hint="eastAsia" w:ascii="等线" w:hAnsi="等线" w:eastAsia="等线" w:cs="等线"/>
                <w:bCs w:val="0"/>
                <w:spacing w:val="0"/>
                <w:kern w:val="2"/>
                <w:sz w:val="21"/>
                <w:szCs w:val="21"/>
                <w:lang w:val="en-US" w:eastAsia="zh-CN" w:bidi="ar-SA"/>
              </w:rPr>
              <w:tab/>
            </w:r>
            <w:r>
              <w:rPr>
                <w:rFonts w:hint="eastAsia" w:ascii="等线" w:hAnsi="等线" w:eastAsia="等线" w:cs="等线"/>
                <w:bCs w:val="0"/>
                <w:spacing w:val="0"/>
                <w:kern w:val="2"/>
                <w:sz w:val="21"/>
                <w:szCs w:val="21"/>
                <w:lang w:val="en-US" w:eastAsia="zh-CN" w:bidi="ar-SA"/>
              </w:rPr>
              <w:t>；</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环境目标：1.固废按规定100%分类处理；2.不发生火灾事故；</w:t>
            </w:r>
          </w:p>
          <w:p>
            <w:pPr>
              <w:spacing w:line="280" w:lineRule="exact"/>
              <w:ind w:firstLine="420" w:firstLineChars="200"/>
              <w:jc w:val="left"/>
              <w:rPr>
                <w:rFonts w:hint="default" w:ascii="等线" w:hAnsi="等线" w:eastAsia="等线" w:cs="等线"/>
                <w:bCs w:val="0"/>
                <w:spacing w:val="0"/>
                <w:kern w:val="2"/>
                <w:sz w:val="21"/>
                <w:szCs w:val="21"/>
                <w:lang w:val="en-US" w:eastAsia="zh-CN" w:bidi="ar-SA"/>
              </w:rPr>
            </w:pPr>
            <w:r>
              <w:rPr>
                <w:rFonts w:hint="eastAsia" w:ascii="等线" w:hAnsi="等线" w:eastAsia="等线" w:cs="等线"/>
                <w:sz w:val="21"/>
                <w:szCs w:val="21"/>
                <w:lang w:val="en-US" w:eastAsia="zh-CN"/>
              </w:rPr>
              <w:t>职业健康安全目标：1.</w:t>
            </w:r>
            <w:r>
              <w:rPr>
                <w:rFonts w:hint="eastAsia" w:ascii="等线" w:hAnsi="等线" w:eastAsia="等线" w:cs="等线"/>
                <w:sz w:val="21"/>
                <w:szCs w:val="21"/>
              </w:rPr>
              <w:t>全年</w:t>
            </w:r>
            <w:r>
              <w:rPr>
                <w:rFonts w:hint="eastAsia" w:ascii="等线" w:hAnsi="等线" w:eastAsia="等线" w:cs="等线"/>
                <w:sz w:val="21"/>
                <w:szCs w:val="21"/>
                <w:lang w:val="en-US" w:eastAsia="zh-CN"/>
              </w:rPr>
              <w:t>职业健康安全</w:t>
            </w:r>
            <w:r>
              <w:rPr>
                <w:rFonts w:hint="eastAsia" w:ascii="等线" w:hAnsi="等线" w:eastAsia="等线" w:cs="等线"/>
                <w:sz w:val="21"/>
                <w:szCs w:val="21"/>
              </w:rPr>
              <w:t>事故发生次数为0</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包含触电和火灾</w:t>
            </w:r>
            <w:r>
              <w:rPr>
                <w:rFonts w:hint="eastAsia" w:ascii="等线" w:hAnsi="等线" w:eastAsia="等线" w:cs="等线"/>
                <w:sz w:val="21"/>
                <w:szCs w:val="21"/>
                <w:lang w:eastAsia="zh-CN"/>
              </w:rPr>
              <w:t>）；</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bCs w:val="0"/>
                <w:spacing w:val="0"/>
                <w:kern w:val="2"/>
                <w:sz w:val="21"/>
                <w:szCs w:val="21"/>
                <w:lang w:val="en-US" w:eastAsia="zh-CN" w:bidi="ar-SA"/>
              </w:rPr>
              <w:t>部门目标与分解基本合理，均有相应的统计方法、管理方案和监视频率，责任部门和责任人明确，基本满足控制要求。</w:t>
            </w:r>
          </w:p>
          <w:p>
            <w:pPr>
              <w:adjustRightInd w:val="0"/>
              <w:snapToGrid w:val="0"/>
              <w:spacing w:line="320" w:lineRule="exact"/>
              <w:ind w:right="105" w:rightChars="50" w:firstLine="420" w:firstLineChars="200"/>
              <w:textAlignment w:val="baseline"/>
              <w:rPr>
                <w:rFonts w:hint="eastAsia" w:ascii="楷体" w:hAnsi="楷体" w:eastAsia="楷体"/>
                <w:color w:val="0070C0"/>
                <w:sz w:val="24"/>
                <w:szCs w:val="24"/>
                <w:lang w:eastAsia="zh-CN"/>
              </w:rPr>
            </w:pPr>
            <w:r>
              <w:rPr>
                <w:rFonts w:hint="eastAsia" w:ascii="等线" w:hAnsi="等线" w:eastAsia="等线" w:cs="等线"/>
                <w:sz w:val="21"/>
                <w:szCs w:val="21"/>
                <w:lang w:val="en-US" w:eastAsia="zh-CN"/>
              </w:rPr>
              <w:t>查2021年度5-10月份目标监视记录包括：1.质量目标及分解目标统计表；《职业健康安全目标及管理方案》、《环境目标及管理方案》；均有相应的统计数据记录，更新及时，责任人明确，符合监视和更新要求。</w:t>
            </w:r>
          </w:p>
        </w:tc>
        <w:tc>
          <w:tcPr>
            <w:tcW w:w="1299" w:type="dxa"/>
          </w:tcPr>
          <w:p>
            <w:pPr>
              <w:spacing w:line="360" w:lineRule="auto"/>
              <w:rPr>
                <w:rFonts w:hint="eastAsia"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527" w:type="dxa"/>
            <w:vAlign w:val="top"/>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资源</w:t>
            </w:r>
          </w:p>
        </w:tc>
        <w:tc>
          <w:tcPr>
            <w:tcW w:w="1246" w:type="dxa"/>
            <w:vAlign w:val="top"/>
          </w:tcPr>
          <w:p>
            <w:pPr>
              <w:adjustRightInd w:val="0"/>
              <w:snapToGrid w:val="0"/>
              <w:spacing w:line="320" w:lineRule="exact"/>
              <w:ind w:right="105" w:rightChars="50"/>
              <w:textAlignment w:val="baseline"/>
              <w:rPr>
                <w:rFonts w:hint="eastAsia" w:ascii="等线" w:hAnsi="等线" w:eastAsia="等线" w:cs="等线"/>
                <w:lang w:val="en-US" w:eastAsia="zh-CN"/>
              </w:rPr>
            </w:pPr>
            <w:r>
              <w:rPr>
                <w:rFonts w:hint="eastAsia" w:ascii="等线" w:hAnsi="等线" w:eastAsia="等线" w:cs="等线"/>
                <w:lang w:val="en-US" w:eastAsia="zh-CN"/>
              </w:rPr>
              <w:t>ES7.1</w:t>
            </w:r>
          </w:p>
        </w:tc>
        <w:tc>
          <w:tcPr>
            <w:tcW w:w="10637" w:type="dxa"/>
            <w:vAlign w:val="top"/>
          </w:tcPr>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r>
              <w:rPr>
                <w:rFonts w:hint="eastAsia" w:ascii="等线" w:hAnsi="等线" w:eastAsia="等线" w:cs="等线"/>
                <w:lang w:val="en-US" w:eastAsia="zh-CN"/>
              </w:rPr>
              <w:t>询问财务部负责人杨卫芳了解到，总经理对资源的配备比较重视，组织为了实施质量、环境和职业健康安全管理体系，并持续改进其有效性、增强顾客满意度和体系正常运行提供了充足的资金及必要的资源，为提高员工质量意识组织了的培训，目前的资源基本满足策划需求。</w:t>
            </w:r>
          </w:p>
          <w:p>
            <w:pPr>
              <w:adjustRightInd w:val="0"/>
              <w:snapToGrid w:val="0"/>
              <w:spacing w:line="320" w:lineRule="exact"/>
              <w:ind w:right="105" w:rightChars="50" w:firstLine="420" w:firstLineChars="200"/>
              <w:textAlignment w:val="baseline"/>
              <w:rPr>
                <w:rFonts w:hint="eastAsia" w:ascii="等线" w:hAnsi="等线" w:eastAsia="等线" w:cs="等线"/>
                <w:lang w:val="en-US" w:eastAsia="zh-CN"/>
              </w:rPr>
            </w:pPr>
            <w:bookmarkStart w:id="0" w:name="_GoBack"/>
            <w:bookmarkEnd w:id="0"/>
            <w:r>
              <w:rPr>
                <w:rFonts w:hint="eastAsia" w:ascii="等线" w:hAnsi="等线" w:eastAsia="等线" w:cs="等线"/>
                <w:lang w:val="en-US" w:eastAsia="zh-CN"/>
              </w:rPr>
              <w:t>审核发现，人力资源、设备和工作环境等基本可满足资质范围内的活动需求。抽查组织2021年度财务审计报告发现，组织的现金流充足，管理、销售等费用投入合理，能够满足资源需求。</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27"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运行控制</w:t>
            </w:r>
          </w:p>
        </w:tc>
        <w:tc>
          <w:tcPr>
            <w:tcW w:w="1246"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ES8.1</w:t>
            </w:r>
          </w:p>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p>
        </w:tc>
        <w:tc>
          <w:tcPr>
            <w:tcW w:w="10637" w:type="dxa"/>
            <w:vAlign w:val="top"/>
          </w:tcPr>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组织根据活动内容，策划了与财务部相关的 等重要准则。</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财务部涉及的过程主要包括财务支持等活动。</w:t>
            </w:r>
          </w:p>
          <w:p>
            <w:pPr>
              <w:adjustRightInd w:val="0"/>
              <w:snapToGrid w:val="0"/>
              <w:spacing w:line="320" w:lineRule="exact"/>
              <w:ind w:right="105" w:rightChars="50" w:firstLine="420" w:firstLineChars="200"/>
              <w:textAlignment w:val="baseline"/>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提供环境安全相关资金投入使用记录：组织体系运行至今，在物业使用、水电使用、消防、劳保、垃圾处理等投入费用共计5元左右。</w:t>
            </w:r>
          </w:p>
          <w:p>
            <w:pPr>
              <w:adjustRightInd w:val="0"/>
              <w:snapToGrid w:val="0"/>
              <w:spacing w:line="320" w:lineRule="exact"/>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财务部负责人陈少亚介绍，组织领导有提供基本的资源包括场所、人力、物力、设备设施等，如办公场所等；到目前为止，组织采购活动策划未发生变更，问其有关要求，基本了解。</w:t>
            </w:r>
          </w:p>
          <w:p>
            <w:pPr>
              <w:spacing w:line="280" w:lineRule="exact"/>
              <w:ind w:firstLine="420" w:firstLineChars="200"/>
              <w:rPr>
                <w:rFonts w:hint="eastAsia" w:ascii="等线" w:hAnsi="等线" w:eastAsia="等线" w:cs="等线"/>
                <w:color w:val="0070C0"/>
                <w:sz w:val="21"/>
                <w:szCs w:val="21"/>
              </w:rPr>
            </w:pPr>
            <w:r>
              <w:rPr>
                <w:rFonts w:hint="eastAsia" w:ascii="等线" w:hAnsi="等线" w:eastAsia="等线" w:cs="等线"/>
                <w:sz w:val="21"/>
                <w:szCs w:val="21"/>
                <w:lang w:val="en-US" w:eastAsia="zh-CN"/>
              </w:rPr>
              <w:t>财务部涉及的环境和职业健康安全运行策划和控制内容主要见行政部ES8.1记录</w:t>
            </w:r>
            <w:r>
              <w:rPr>
                <w:rFonts w:hint="eastAsia" w:ascii="等线" w:hAnsi="等线" w:eastAsia="等线" w:cs="等线"/>
                <w:sz w:val="21"/>
                <w:szCs w:val="21"/>
                <w:lang w:val="en-US" w:eastAsia="zh-TW"/>
              </w:rPr>
              <w:t>。</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7"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应急准备和相应</w:t>
            </w:r>
          </w:p>
        </w:tc>
        <w:tc>
          <w:tcPr>
            <w:tcW w:w="1246" w:type="dxa"/>
          </w:tcPr>
          <w:p>
            <w:pPr>
              <w:adjustRightInd w:val="0"/>
              <w:snapToGrid w:val="0"/>
              <w:spacing w:line="320" w:lineRule="exact"/>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ES8.2</w:t>
            </w:r>
          </w:p>
        </w:tc>
        <w:tc>
          <w:tcPr>
            <w:tcW w:w="10637" w:type="dxa"/>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财务部按照策划的《应急准备和响应程序》、《应急预案》等，明确了相应的运行准则。</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财务部负责人杨卫芳介绍，财务部按照公司统一要求，办公过程中加强用电安全，防止触电事故、火灾事故、传染病传播的发生，和综合管林部等组织部门员工参与应急演练。</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w:t>
            </w:r>
            <w:r>
              <w:rPr>
                <w:rFonts w:hint="eastAsia" w:ascii="等线" w:hAnsi="等线" w:eastAsia="等线" w:cs="等线"/>
                <w:color w:val="auto"/>
                <w:sz w:val="21"/>
                <w:szCs w:val="21"/>
                <w:lang w:val="en-US" w:eastAsia="zh-CN"/>
              </w:rPr>
              <w:t>2021年6月20日部门</w:t>
            </w:r>
            <w:r>
              <w:rPr>
                <w:rFonts w:hint="eastAsia" w:ascii="等线" w:hAnsi="等线" w:eastAsia="等线" w:cs="等线"/>
                <w:sz w:val="21"/>
                <w:szCs w:val="21"/>
                <w:lang w:val="en-US" w:eastAsia="zh-CN"/>
              </w:rPr>
              <w:t>人员均参加了行政部组织的消防演练。</w:t>
            </w:r>
          </w:p>
          <w:p>
            <w:pPr>
              <w:spacing w:line="280" w:lineRule="exact"/>
              <w:ind w:firstLine="420" w:firstLineChars="200"/>
              <w:jc w:val="both"/>
              <w:rPr>
                <w:rFonts w:hint="eastAsia" w:ascii="等线" w:hAnsi="等线" w:eastAsia="等线" w:cs="等线"/>
                <w:color w:val="0070C0"/>
                <w:sz w:val="21"/>
                <w:szCs w:val="21"/>
              </w:rPr>
            </w:pPr>
            <w:r>
              <w:rPr>
                <w:rFonts w:hint="eastAsia" w:ascii="等线" w:hAnsi="等线" w:eastAsia="等线" w:cs="等线"/>
                <w:sz w:val="21"/>
                <w:szCs w:val="21"/>
                <w:lang w:val="en-US" w:eastAsia="zh-CN"/>
              </w:rPr>
              <w:t>自体系运行以来，未出现紧急情况。</w:t>
            </w:r>
            <w:r>
              <w:rPr>
                <w:rFonts w:hint="eastAsia" w:ascii="等线" w:hAnsi="等线" w:eastAsia="等线" w:cs="等线"/>
                <w:color w:val="0070C0"/>
                <w:sz w:val="21"/>
                <w:szCs w:val="21"/>
              </w:rPr>
              <w:t xml:space="preserve">  </w:t>
            </w:r>
          </w:p>
        </w:tc>
        <w:tc>
          <w:tcPr>
            <w:tcW w:w="1299"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27" w:type="dxa"/>
          </w:tcPr>
          <w:p>
            <w:pPr>
              <w:adjustRightInd w:val="0"/>
              <w:snapToGrid w:val="0"/>
              <w:spacing w:line="320" w:lineRule="exact"/>
              <w:ind w:right="105" w:rightChars="50"/>
              <w:textAlignment w:val="baseline"/>
              <w:rPr>
                <w:rFonts w:hint="default" w:ascii="宋体" w:hAnsi="宋体" w:eastAsia="宋体" w:cs="宋体"/>
                <w:lang w:val="en-US" w:eastAsia="zh-CN"/>
              </w:rPr>
            </w:pPr>
            <w:r>
              <w:rPr>
                <w:rFonts w:hint="eastAsia" w:ascii="宋体" w:hAnsi="宋体" w:cs="宋体"/>
                <w:lang w:val="en-US" w:eastAsia="zh-CN"/>
              </w:rPr>
              <w:t>不符合及其纠正措施</w:t>
            </w:r>
          </w:p>
        </w:tc>
        <w:tc>
          <w:tcPr>
            <w:tcW w:w="1246" w:type="dxa"/>
          </w:tcPr>
          <w:p>
            <w:pPr>
              <w:adjustRightInd w:val="0"/>
              <w:snapToGrid w:val="0"/>
              <w:spacing w:line="320" w:lineRule="exact"/>
              <w:ind w:right="105" w:rightChars="50"/>
              <w:textAlignment w:val="baseline"/>
              <w:rPr>
                <w:rFonts w:hint="default" w:ascii="宋体" w:hAnsi="宋体" w:cs="宋体"/>
                <w:lang w:val="en-US" w:eastAsia="zh-CN"/>
              </w:rPr>
            </w:pPr>
            <w:r>
              <w:rPr>
                <w:rFonts w:hint="eastAsia" w:ascii="宋体" w:hAnsi="宋体" w:cs="宋体"/>
                <w:lang w:val="en-US" w:eastAsia="zh-CN"/>
              </w:rPr>
              <w:t>ES10.2</w:t>
            </w:r>
          </w:p>
        </w:tc>
        <w:tc>
          <w:tcPr>
            <w:tcW w:w="10637" w:type="dxa"/>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财务部负责人杨卫芳介绍：组织在运行过程中对发现的不合格都会采取纠正措施，分析原因，举一反三地看待其他部门或类似过程，采取预防措施以防止发生不合格或不符合。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lang w:val="en-US" w:eastAsia="zh-CN"/>
              </w:rPr>
            </w:pPr>
            <w:r>
              <w:rPr>
                <w:rFonts w:hint="eastAsia" w:ascii="等线" w:hAnsi="等线" w:eastAsia="等线" w:cs="等线"/>
                <w:lang w:val="en-US" w:eastAsia="zh-CN"/>
              </w:rPr>
              <w:t>组织内审时发现的不符合项进行的原因分析、纠正措施和验证均能满足改进要求。组织内审时未发现财务部有不符合及其整改记录，其它纠正措施记录见各部门QES10.2。</w:t>
            </w:r>
          </w:p>
        </w:tc>
        <w:tc>
          <w:tcPr>
            <w:tcW w:w="1299" w:type="dxa"/>
          </w:tcPr>
          <w:p>
            <w:pPr>
              <w:spacing w:line="360" w:lineRule="auto"/>
              <w:rPr>
                <w:rFonts w:ascii="楷体" w:hAnsi="楷体" w:eastAsia="楷体"/>
                <w:sz w:val="24"/>
                <w:szCs w:val="24"/>
              </w:rPr>
            </w:pPr>
          </w:p>
        </w:tc>
      </w:tr>
    </w:tbl>
    <w:p>
      <w:pPr>
        <w:rPr>
          <w:rFonts w:ascii="楷体" w:hAnsi="楷体" w:eastAsia="楷体"/>
          <w:sz w:val="21"/>
          <w:szCs w:val="21"/>
        </w:rPr>
      </w:pPr>
      <w:r>
        <w:rPr>
          <w:rFonts w:hint="eastAsia" w:ascii="楷体" w:hAnsi="楷体" w:eastAsia="楷体"/>
          <w:sz w:val="21"/>
          <w:szCs w:val="21"/>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1017602"/>
    <w:rsid w:val="010B3716"/>
    <w:rsid w:val="04D93FDD"/>
    <w:rsid w:val="08D544C6"/>
    <w:rsid w:val="0AF30CFB"/>
    <w:rsid w:val="0E314541"/>
    <w:rsid w:val="0FD408C0"/>
    <w:rsid w:val="108219C2"/>
    <w:rsid w:val="15C47E54"/>
    <w:rsid w:val="16A65F04"/>
    <w:rsid w:val="17DE4FAA"/>
    <w:rsid w:val="18CD4DA9"/>
    <w:rsid w:val="191B60B6"/>
    <w:rsid w:val="1B4F31D6"/>
    <w:rsid w:val="1B8175AB"/>
    <w:rsid w:val="1D7B132A"/>
    <w:rsid w:val="21CA7F84"/>
    <w:rsid w:val="22CA6849"/>
    <w:rsid w:val="24A4118C"/>
    <w:rsid w:val="2541247E"/>
    <w:rsid w:val="27D52B4D"/>
    <w:rsid w:val="29713633"/>
    <w:rsid w:val="2B0855E6"/>
    <w:rsid w:val="2B2362C5"/>
    <w:rsid w:val="2CCA0279"/>
    <w:rsid w:val="2D420B1B"/>
    <w:rsid w:val="300E679C"/>
    <w:rsid w:val="36D7376E"/>
    <w:rsid w:val="377563E1"/>
    <w:rsid w:val="3BF502B5"/>
    <w:rsid w:val="3F185CE9"/>
    <w:rsid w:val="40785FF9"/>
    <w:rsid w:val="45316955"/>
    <w:rsid w:val="462C3E28"/>
    <w:rsid w:val="4D051B4B"/>
    <w:rsid w:val="4FF0324F"/>
    <w:rsid w:val="52020902"/>
    <w:rsid w:val="55AE278D"/>
    <w:rsid w:val="56287884"/>
    <w:rsid w:val="58355F38"/>
    <w:rsid w:val="5D1547F0"/>
    <w:rsid w:val="5EA12B9A"/>
    <w:rsid w:val="60FC244C"/>
    <w:rsid w:val="611150E3"/>
    <w:rsid w:val="63310C18"/>
    <w:rsid w:val="655E664E"/>
    <w:rsid w:val="66070875"/>
    <w:rsid w:val="664C1468"/>
    <w:rsid w:val="66BE0674"/>
    <w:rsid w:val="671B5AC7"/>
    <w:rsid w:val="67952EF0"/>
    <w:rsid w:val="69B95B43"/>
    <w:rsid w:val="6CAC7D0C"/>
    <w:rsid w:val="6E663F30"/>
    <w:rsid w:val="734B6D59"/>
    <w:rsid w:val="7356229F"/>
    <w:rsid w:val="76F01929"/>
    <w:rsid w:val="772E5D8D"/>
    <w:rsid w:val="77E5442D"/>
    <w:rsid w:val="795629CA"/>
    <w:rsid w:val="7AD84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4"/>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7">
    <w:name w:val="Plain Text"/>
    <w:basedOn w:val="1"/>
    <w:link w:val="25"/>
    <w:qFormat/>
    <w:uiPriority w:val="0"/>
    <w:rPr>
      <w:rFonts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6"/>
    <w:qFormat/>
    <w:uiPriority w:val="0"/>
    <w:pPr>
      <w:widowControl/>
      <w:jc w:val="center"/>
    </w:pPr>
    <w:rPr>
      <w:rFonts w:ascii="Book Antiqua" w:hAnsi="Book Antiqua"/>
      <w:b/>
      <w:kern w:val="0"/>
      <w:sz w:val="31"/>
      <w:szCs w:val="31"/>
      <w:u w:val="single"/>
      <w:lang w:eastAsia="en-US"/>
    </w:rPr>
  </w:style>
  <w:style w:type="paragraph" w:styleId="12">
    <w:name w:val="Body Text First Indent 2"/>
    <w:basedOn w:val="6"/>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5"/>
    <w:link w:val="10"/>
    <w:qFormat/>
    <w:uiPriority w:val="0"/>
    <w:rPr>
      <w:rFonts w:ascii="Times New Roman" w:hAnsi="Times New Roman" w:eastAsia="宋体" w:cs="Times New Roman"/>
      <w:sz w:val="18"/>
      <w:szCs w:val="18"/>
    </w:rPr>
  </w:style>
  <w:style w:type="character" w:customStyle="1" w:styleId="18">
    <w:name w:val="页脚 Char"/>
    <w:basedOn w:val="15"/>
    <w:link w:val="9"/>
    <w:qFormat/>
    <w:uiPriority w:val="99"/>
    <w:rPr>
      <w:rFonts w:ascii="Times New Roman" w:hAnsi="Times New Roman" w:eastAsia="宋体" w:cs="Times New Roman"/>
      <w:sz w:val="18"/>
      <w:szCs w:val="18"/>
    </w:rPr>
  </w:style>
  <w:style w:type="character" w:customStyle="1" w:styleId="19">
    <w:name w:val="批注框文本 Char"/>
    <w:basedOn w:val="15"/>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fontstyle01"/>
    <w:basedOn w:val="15"/>
    <w:qFormat/>
    <w:uiPriority w:val="0"/>
    <w:rPr>
      <w:rFonts w:hint="eastAsia" w:ascii="宋体" w:hAnsi="宋体" w:eastAsia="宋体"/>
      <w:color w:val="000000"/>
      <w:sz w:val="24"/>
      <w:szCs w:val="24"/>
    </w:rPr>
  </w:style>
  <w:style w:type="character" w:customStyle="1" w:styleId="22">
    <w:name w:val="fontstyle21"/>
    <w:basedOn w:val="15"/>
    <w:qFormat/>
    <w:uiPriority w:val="0"/>
    <w:rPr>
      <w:rFonts w:hint="default" w:ascii="Times New Roman" w:hAnsi="Times New Roman" w:cs="Times New Roman"/>
      <w:color w:val="000000"/>
      <w:sz w:val="24"/>
      <w:szCs w:val="24"/>
    </w:rPr>
  </w:style>
  <w:style w:type="character" w:customStyle="1" w:styleId="23">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24">
    <w:name w:val="正文文本 Char"/>
    <w:basedOn w:val="15"/>
    <w:link w:val="4"/>
    <w:qFormat/>
    <w:uiPriority w:val="99"/>
    <w:rPr>
      <w:rFonts w:ascii="Times New Roman" w:hAnsi="Times New Roman" w:eastAsia="宋体" w:cs="Times New Roman"/>
      <w:kern w:val="2"/>
      <w:sz w:val="24"/>
    </w:rPr>
  </w:style>
  <w:style w:type="character" w:customStyle="1" w:styleId="25">
    <w:name w:val="纯文本 Char"/>
    <w:basedOn w:val="15"/>
    <w:link w:val="7"/>
    <w:qFormat/>
    <w:uiPriority w:val="0"/>
    <w:rPr>
      <w:rFonts w:ascii="宋体" w:hAnsi="Courier New" w:eastAsia="宋体" w:cs="Times New Roman"/>
      <w:kern w:val="2"/>
      <w:sz w:val="21"/>
    </w:rPr>
  </w:style>
  <w:style w:type="character" w:customStyle="1" w:styleId="26">
    <w:name w:val="标题 Char"/>
    <w:basedOn w:val="15"/>
    <w:link w:val="11"/>
    <w:qFormat/>
    <w:uiPriority w:val="0"/>
    <w:rPr>
      <w:rFonts w:ascii="Book Antiqua" w:hAnsi="Book Antiqua" w:eastAsia="宋体" w:cs="Times New Roman"/>
      <w:b/>
      <w:sz w:val="31"/>
      <w:szCs w:val="31"/>
      <w:u w:val="single"/>
      <w:lang w:eastAsia="en-US"/>
    </w:rPr>
  </w:style>
  <w:style w:type="paragraph" w:styleId="27">
    <w:name w:val="List Paragraph"/>
    <w:basedOn w:val="1"/>
    <w:unhideWhenUsed/>
    <w:qFormat/>
    <w:uiPriority w:val="99"/>
    <w:pPr>
      <w:ind w:firstLine="420" w:firstLineChars="200"/>
    </w:pPr>
  </w:style>
  <w:style w:type="paragraph" w:customStyle="1" w:styleId="28">
    <w:name w:val="东方正文"/>
    <w:basedOn w:val="1"/>
    <w:qFormat/>
    <w:uiPriority w:val="0"/>
    <w:pPr>
      <w:spacing w:line="400" w:lineRule="exact"/>
      <w:ind w:left="284" w:right="284"/>
    </w:pPr>
    <w:rPr>
      <w:sz w:val="24"/>
    </w:rPr>
  </w:style>
  <w:style w:type="paragraph" w:customStyle="1" w:styleId="2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1124</Words>
  <Characters>6408</Characters>
  <Lines>53</Lines>
  <Paragraphs>15</Paragraphs>
  <TotalTime>0</TotalTime>
  <ScaleCrop>false</ScaleCrop>
  <LinksUpToDate>false</LinksUpToDate>
  <CharactersWithSpaces>7517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2021-12-22T01:35:24Z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613C0CE86BAF4367A012EA383E43C68D</vt:lpwstr>
  </property>
</Properties>
</file>