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17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7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受审核部门：采购仓储部        主管领导：贾瑞琴    陪同人员： 张俊伟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Merge w:val="continue"/>
            <w:vAlign w:val="center"/>
          </w:tcPr>
          <w:p/>
        </w:tc>
        <w:tc>
          <w:tcPr>
            <w:tcW w:w="1175" w:type="dxa"/>
            <w:vMerge w:val="continue"/>
            <w:vAlign w:val="center"/>
          </w:tcPr>
          <w:p/>
        </w:tc>
        <w:tc>
          <w:tcPr>
            <w:tcW w:w="10004" w:type="dxa"/>
            <w:vAlign w:val="center"/>
          </w:tcPr>
          <w:p>
            <w:pPr>
              <w:spacing w:before="120"/>
              <w:rPr>
                <w:sz w:val="24"/>
                <w:szCs w:val="24"/>
              </w:rPr>
            </w:pPr>
            <w:r>
              <w:rPr>
                <w:rFonts w:hint="eastAsia"/>
                <w:sz w:val="24"/>
                <w:szCs w:val="24"/>
              </w:rPr>
              <w:t>审核员：温红玲   技术专家：陈俊</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提供技术支持）</w:t>
            </w:r>
            <w:r>
              <w:rPr>
                <w:rFonts w:hint="eastAsia"/>
                <w:sz w:val="24"/>
                <w:szCs w:val="24"/>
              </w:rPr>
              <w:t xml:space="preserve">   审核时间：2021.12.24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Merge w:val="continue"/>
            <w:vAlign w:val="center"/>
          </w:tcPr>
          <w:p/>
        </w:tc>
        <w:tc>
          <w:tcPr>
            <w:tcW w:w="1175" w:type="dxa"/>
            <w:vMerge w:val="continue"/>
            <w:vAlign w:val="center"/>
          </w:tcPr>
          <w:p/>
        </w:tc>
        <w:tc>
          <w:tcPr>
            <w:tcW w:w="10004" w:type="dxa"/>
            <w:vAlign w:val="center"/>
          </w:tcPr>
          <w:p>
            <w:pPr>
              <w:spacing w:line="360" w:lineRule="auto"/>
              <w:jc w:val="left"/>
            </w:pPr>
            <w:r>
              <w:rPr>
                <w:rFonts w:hint="eastAsia"/>
                <w:sz w:val="24"/>
                <w:szCs w:val="24"/>
              </w:rPr>
              <w:t>审核条款</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O：5.3组织的角色、职责和权限；6.1.2危险源辨识和职业安全风险评价；6.2目标及其实现的策划；8.1运行策划和控制；8.2应急准备和响应；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r>
              <w:rPr>
                <w:rFonts w:hint="eastAsia"/>
              </w:rPr>
              <w:t>岗位、职责和权限</w:t>
            </w:r>
          </w:p>
        </w:tc>
        <w:tc>
          <w:tcPr>
            <w:tcW w:w="1175" w:type="dxa"/>
          </w:tcPr>
          <w:p>
            <w:pPr>
              <w:spacing w:line="360" w:lineRule="auto"/>
              <w:jc w:val="center"/>
            </w:pPr>
            <w:r>
              <w:rPr>
                <w:rFonts w:hint="eastAsia" w:ascii="宋体" w:hAnsi="宋体" w:cs="Arial"/>
                <w:spacing w:val="-6"/>
                <w:szCs w:val="21"/>
              </w:rPr>
              <w:t>O:5.3</w:t>
            </w:r>
          </w:p>
        </w:tc>
        <w:tc>
          <w:tcPr>
            <w:tcW w:w="10004" w:type="dxa"/>
          </w:tcPr>
          <w:p>
            <w:pPr>
              <w:spacing w:line="360" w:lineRule="auto"/>
              <w:ind w:firstLine="420" w:firstLineChars="200"/>
            </w:pPr>
            <w:r>
              <w:rPr>
                <w:rFonts w:hint="eastAsia"/>
                <w:lang w:eastAsia="zh-CN"/>
              </w:rPr>
              <w:t>采购仓储部</w:t>
            </w:r>
            <w:r>
              <w:rPr>
                <w:rFonts w:hint="eastAsia"/>
              </w:rPr>
              <w:t>现有1人，负责人1人；</w:t>
            </w:r>
          </w:p>
          <w:p>
            <w:pPr>
              <w:pStyle w:val="3"/>
              <w:spacing w:line="440" w:lineRule="exact"/>
              <w:ind w:firstLine="420"/>
              <w:rPr>
                <w:rFonts w:ascii="宋体" w:hAnsi="宋体"/>
              </w:rPr>
            </w:pPr>
            <w:r>
              <w:rPr>
                <w:rFonts w:hint="eastAsia" w:ascii="宋体" w:hAnsi="宋体"/>
              </w:rPr>
              <w:t xml:space="preserve">采购仓储部职责：   </w:t>
            </w:r>
          </w:p>
          <w:p>
            <w:pPr>
              <w:pStyle w:val="3"/>
              <w:spacing w:line="440" w:lineRule="exact"/>
              <w:ind w:firstLine="420"/>
              <w:rPr>
                <w:rFonts w:ascii="宋体" w:hAnsi="宋体"/>
              </w:rPr>
            </w:pPr>
            <w:r>
              <w:rPr>
                <w:rFonts w:hint="eastAsia" w:ascii="宋体" w:hAnsi="宋体"/>
              </w:rPr>
              <w:t>a )负责劳保用品，设备和耗材的采购和对供应商评价</w:t>
            </w:r>
          </w:p>
          <w:p>
            <w:pPr>
              <w:pStyle w:val="3"/>
              <w:spacing w:line="440" w:lineRule="exact"/>
              <w:ind w:firstLine="420"/>
              <w:rPr>
                <w:rFonts w:ascii="宋体" w:hAnsi="宋体"/>
                <w:color w:val="000000"/>
                <w:sz w:val="24"/>
              </w:rPr>
            </w:pPr>
            <w:r>
              <w:rPr>
                <w:rFonts w:hint="eastAsia" w:ascii="宋体" w:hAnsi="宋体"/>
              </w:rPr>
              <w:t>b )负责</w:t>
            </w:r>
            <w:r>
              <w:rPr>
                <w:rFonts w:hint="eastAsia" w:ascii="宋体" w:hAnsi="宋体"/>
                <w:color w:val="000000"/>
                <w:sz w:val="24"/>
              </w:rPr>
              <w:t>产品的入库验收</w:t>
            </w:r>
          </w:p>
          <w:p>
            <w:pPr>
              <w:pStyle w:val="3"/>
              <w:spacing w:line="440" w:lineRule="exact"/>
              <w:ind w:firstLine="420"/>
              <w:rPr>
                <w:rFonts w:ascii="宋体" w:hAnsi="宋体"/>
              </w:rPr>
            </w:pPr>
            <w:r>
              <w:rPr>
                <w:rFonts w:hint="eastAsia" w:ascii="宋体" w:hAnsi="宋体"/>
              </w:rPr>
              <w:t>c</w:t>
            </w:r>
            <w:r>
              <w:rPr>
                <w:rFonts w:ascii="宋体" w:hAnsi="宋体"/>
              </w:rPr>
              <w:t>)</w:t>
            </w:r>
            <w:r>
              <w:rPr>
                <w:rFonts w:hint="eastAsia" w:ascii="宋体" w:hAnsi="宋体"/>
              </w:rPr>
              <w:t>负责入库产品不合格评价和处理</w:t>
            </w:r>
          </w:p>
          <w:p>
            <w:pPr>
              <w:pStyle w:val="3"/>
              <w:spacing w:line="440" w:lineRule="exact"/>
              <w:ind w:firstLine="420"/>
              <w:rPr>
                <w:rFonts w:ascii="宋体" w:hAnsi="宋体"/>
              </w:rPr>
            </w:pPr>
            <w:r>
              <w:rPr>
                <w:rFonts w:hint="eastAsia" w:ascii="宋体" w:hAnsi="宋体"/>
              </w:rPr>
              <w:t>d</w:t>
            </w:r>
            <w:r>
              <w:rPr>
                <w:rFonts w:ascii="宋体" w:hAnsi="宋体"/>
              </w:rPr>
              <w:t>)</w:t>
            </w:r>
            <w:r>
              <w:rPr>
                <w:rFonts w:hint="eastAsia" w:ascii="宋体" w:hAnsi="宋体"/>
              </w:rPr>
              <w:t>负责入库产品进行正确标识，便于识别</w:t>
            </w:r>
          </w:p>
          <w:p>
            <w:pPr>
              <w:pStyle w:val="3"/>
              <w:spacing w:line="440" w:lineRule="exact"/>
              <w:ind w:firstLine="420"/>
              <w:rPr>
                <w:rFonts w:ascii="宋体" w:hAnsi="宋体"/>
              </w:rPr>
            </w:pPr>
            <w:r>
              <w:rPr>
                <w:rFonts w:hint="eastAsia" w:ascii="宋体" w:hAnsi="宋体"/>
              </w:rPr>
              <w:t>e</w:t>
            </w:r>
            <w:r>
              <w:rPr>
                <w:rFonts w:ascii="宋体" w:hAnsi="宋体"/>
              </w:rPr>
              <w:t>)</w:t>
            </w:r>
            <w:r>
              <w:rPr>
                <w:rFonts w:hint="eastAsia" w:ascii="宋体" w:hAnsi="宋体"/>
              </w:rPr>
              <w:t xml:space="preserve"> 负责对出厂产品进行包装防护</w:t>
            </w:r>
          </w:p>
          <w:p>
            <w:pPr>
              <w:pStyle w:val="3"/>
              <w:spacing w:line="44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f）负责本部门环境因素的识别和控制</w:t>
            </w:r>
          </w:p>
          <w:p>
            <w:pPr>
              <w:pStyle w:val="3"/>
              <w:spacing w:line="440" w:lineRule="exact"/>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g)负责本部门</w:t>
            </w:r>
            <w:r>
              <w:rPr>
                <w:rFonts w:hint="eastAsia" w:ascii="宋体" w:hAnsi="宋体"/>
                <w:color w:val="000000" w:themeColor="text1"/>
                <w:szCs w:val="21"/>
                <w14:textFill>
                  <w14:solidFill>
                    <w14:schemeClr w14:val="tx1"/>
                  </w14:solidFill>
                </w14:textFill>
              </w:rPr>
              <w:t>职业健康安全风险和其他职业健康安全管理体系风险的评价</w:t>
            </w:r>
          </w:p>
          <w:p>
            <w:pPr>
              <w:pStyle w:val="3"/>
              <w:spacing w:line="440" w:lineRule="exact"/>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h)负责识别职业健康安全机遇和其他机遇</w:t>
            </w:r>
          </w:p>
          <w:p>
            <w:pPr>
              <w:pStyle w:val="3"/>
              <w:spacing w:after="0" w:line="360" w:lineRule="auto"/>
              <w:ind w:firstLine="420"/>
            </w:pPr>
            <w:r>
              <w:rPr>
                <w:rFonts w:hint="eastAsia"/>
              </w:rPr>
              <w:t>部门职责明确，部门负责人对本部门职责较为清晰。</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r>
              <w:rPr>
                <w:rFonts w:hint="eastAsia" w:ascii="宋体" w:hAnsi="宋体" w:cs="Arial"/>
                <w:sz w:val="18"/>
                <w:szCs w:val="18"/>
              </w:rPr>
              <w:t>目标及其实现的策划</w:t>
            </w:r>
          </w:p>
        </w:tc>
        <w:tc>
          <w:tcPr>
            <w:tcW w:w="1175" w:type="dxa"/>
          </w:tcPr>
          <w:p>
            <w:pPr>
              <w:spacing w:line="360" w:lineRule="auto"/>
              <w:jc w:val="center"/>
            </w:pPr>
            <w:r>
              <w:rPr>
                <w:rFonts w:hint="eastAsia" w:ascii="宋体" w:hAnsi="宋体" w:cs="Arial"/>
                <w:spacing w:val="-6"/>
                <w:szCs w:val="21"/>
              </w:rPr>
              <w:t>O:6.2</w:t>
            </w:r>
          </w:p>
        </w:tc>
        <w:tc>
          <w:tcPr>
            <w:tcW w:w="10004" w:type="dxa"/>
          </w:tcPr>
          <w:p>
            <w:pPr>
              <w:rPr>
                <w:rFonts w:hAnsi="宋体" w:cs="宋体"/>
                <w:b/>
                <w:bCs/>
                <w:kern w:val="0"/>
              </w:rPr>
            </w:pPr>
            <w:r>
              <w:rPr>
                <w:rFonts w:hint="eastAsia"/>
              </w:rPr>
              <w:t xml:space="preserve"> </w:t>
            </w:r>
            <w:r>
              <w:rPr>
                <w:rFonts w:hint="eastAsia" w:hAnsi="宋体" w:cs="宋体"/>
                <w:b/>
                <w:bCs/>
                <w:kern w:val="0"/>
              </w:rPr>
              <w:t>职业健康安全目标和指标：</w:t>
            </w:r>
          </w:p>
          <w:p>
            <w:pPr>
              <w:rPr>
                <w:rFonts w:hAnsi="宋体" w:cs="宋体"/>
                <w:b/>
                <w:bCs/>
                <w:kern w:val="0"/>
              </w:rPr>
            </w:pPr>
            <w:r>
              <w:rPr>
                <w:rFonts w:hint="eastAsia" w:hAnsi="宋体" w:cs="宋体"/>
                <w:b/>
                <w:bCs/>
                <w:kern w:val="0"/>
              </w:rPr>
              <w:t>――</w:t>
            </w:r>
            <w:r>
              <w:rPr>
                <w:rFonts w:hint="eastAsia" w:ascii="宋体" w:hAnsi="宋体" w:cs="宋体"/>
                <w:sz w:val="24"/>
                <w:szCs w:val="24"/>
              </w:rPr>
              <w:t>火灾事故为0</w:t>
            </w:r>
            <w:r>
              <w:rPr>
                <w:rFonts w:hint="eastAsia" w:hAnsi="宋体" w:cs="宋体"/>
                <w:b/>
                <w:bCs/>
                <w:kern w:val="0"/>
              </w:rPr>
              <w:t xml:space="preserve">； </w:t>
            </w:r>
          </w:p>
          <w:p>
            <w:pPr>
              <w:rPr>
                <w:rFonts w:hAnsi="宋体" w:cs="宋体"/>
                <w:b/>
                <w:bCs/>
                <w:kern w:val="0"/>
              </w:rPr>
            </w:pPr>
            <w:r>
              <w:rPr>
                <w:rFonts w:hint="eastAsia" w:hAnsi="宋体" w:cs="宋体"/>
                <w:b/>
                <w:bCs/>
                <w:kern w:val="0"/>
              </w:rPr>
              <w:t>――</w:t>
            </w:r>
            <w:r>
              <w:rPr>
                <w:rFonts w:hint="eastAsia" w:ascii="宋体" w:hAnsi="宋体" w:cs="宋体"/>
                <w:sz w:val="24"/>
                <w:szCs w:val="24"/>
              </w:rPr>
              <w:t>意外伤害救治率1</w:t>
            </w:r>
            <w:r>
              <w:rPr>
                <w:rFonts w:ascii="宋体" w:hAnsi="宋体" w:cs="宋体"/>
                <w:sz w:val="24"/>
                <w:szCs w:val="24"/>
              </w:rPr>
              <w:t>00</w:t>
            </w:r>
            <w:r>
              <w:rPr>
                <w:rFonts w:hint="eastAsia" w:ascii="宋体" w:hAnsi="宋体" w:cs="宋体"/>
                <w:sz w:val="24"/>
                <w:szCs w:val="24"/>
              </w:rPr>
              <w:t>%</w:t>
            </w:r>
            <w:r>
              <w:rPr>
                <w:rFonts w:hint="eastAsia" w:hAnsi="宋体" w:cs="宋体"/>
                <w:b/>
                <w:bCs/>
                <w:kern w:val="0"/>
              </w:rPr>
              <w:t>。</w:t>
            </w:r>
          </w:p>
          <w:p>
            <w:pPr>
              <w:spacing w:line="280" w:lineRule="exact"/>
            </w:pPr>
            <w:r>
              <w:rPr>
                <w:rFonts w:hint="eastAsia"/>
              </w:rPr>
              <w:t>目标可测量，与公司管理方针一致。</w:t>
            </w:r>
          </w:p>
          <w:p>
            <w:pPr>
              <w:spacing w:line="280" w:lineRule="exact"/>
            </w:pPr>
            <w:r>
              <w:rPr>
                <w:rFonts w:hint="eastAsia"/>
              </w:rPr>
              <w:t>每年由综合部按公司管理目标考核要求统计考核公司管理目标完成情况，提交管理评审会议。查到2</w:t>
            </w:r>
            <w:r>
              <w:t>02</w:t>
            </w:r>
            <w:r>
              <w:rPr>
                <w:rFonts w:hint="eastAsia"/>
              </w:rPr>
              <w:t>1年12月 公司管理目标完成情况，各项目标均已完成。</w:t>
            </w:r>
          </w:p>
          <w:p>
            <w:pPr>
              <w:spacing w:line="280" w:lineRule="exact"/>
            </w:pPr>
            <w:r>
              <w:rPr>
                <w:rFonts w:hint="eastAsia"/>
              </w:rPr>
              <w:t>针对不可接受风险制订了管理方案并予以实施，基本有效 。</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r>
              <w:rPr>
                <w:rFonts w:hint="eastAsia"/>
              </w:rPr>
              <w:t>危险源的识别与评价</w:t>
            </w:r>
          </w:p>
        </w:tc>
        <w:tc>
          <w:tcPr>
            <w:tcW w:w="1175" w:type="dxa"/>
          </w:tcPr>
          <w:p>
            <w:pPr>
              <w:spacing w:line="360" w:lineRule="auto"/>
              <w:jc w:val="center"/>
              <w:rPr>
                <w:rFonts w:ascii="宋体" w:hAnsi="宋体" w:cs="Arial"/>
                <w:spacing w:val="-6"/>
                <w:szCs w:val="21"/>
              </w:rPr>
            </w:pPr>
            <w:r>
              <w:rPr>
                <w:rFonts w:hint="eastAsia" w:ascii="宋体" w:hAnsi="宋体" w:cs="Arial"/>
                <w:spacing w:val="-6"/>
                <w:szCs w:val="21"/>
              </w:rPr>
              <w:t>O:6.1.2</w:t>
            </w:r>
          </w:p>
          <w:p>
            <w:pPr>
              <w:spacing w:line="360" w:lineRule="auto"/>
              <w:jc w:val="center"/>
            </w:pPr>
          </w:p>
        </w:tc>
        <w:tc>
          <w:tcPr>
            <w:tcW w:w="10004" w:type="dxa"/>
          </w:tcPr>
          <w:p>
            <w:pPr>
              <w:spacing w:before="93" w:beforeLines="30" w:after="93" w:afterLines="30"/>
              <w:ind w:firstLine="420" w:firstLineChars="200"/>
              <w:rPr>
                <w:rFonts w:ascii="宋体" w:hAnsi="宋体" w:cs="宋体"/>
                <w:szCs w:val="21"/>
              </w:rPr>
            </w:pPr>
            <w:r>
              <w:rPr>
                <w:rFonts w:hint="eastAsia" w:ascii="宋体" w:hAnsi="宋体" w:cs="宋体"/>
                <w:szCs w:val="21"/>
              </w:rPr>
              <w:t>提供了《</w:t>
            </w:r>
            <w:r>
              <w:rPr>
                <w:rFonts w:hint="eastAsia" w:ascii="宋体" w:hAnsi="宋体"/>
                <w:iCs/>
              </w:rPr>
              <w:t>危险源辨识别和控制程序</w:t>
            </w:r>
            <w:r>
              <w:rPr>
                <w:rFonts w:hint="eastAsia" w:ascii="宋体" w:hAnsi="宋体" w:cs="宋体"/>
                <w:szCs w:val="21"/>
              </w:rPr>
              <w:t>》（文件编号</w:t>
            </w:r>
            <w:r>
              <w:rPr>
                <w:rFonts w:hint="eastAsia" w:ascii="宋体" w:hAnsi="宋体"/>
              </w:rPr>
              <w:t xml:space="preserve"> SYAH-CX-4）</w:t>
            </w:r>
            <w:r>
              <w:rPr>
                <w:rFonts w:hint="eastAsia" w:ascii="宋体" w:hAnsi="宋体" w:cs="宋体"/>
                <w:szCs w:val="21"/>
              </w:rPr>
              <w:t>，对环境因素、危险源的识别、评价结果、控制手段等做出了规定。</w:t>
            </w:r>
          </w:p>
          <w:p>
            <w:pPr>
              <w:snapToGrid w:val="0"/>
              <w:spacing w:before="93" w:beforeLines="30" w:after="93" w:afterLines="30"/>
              <w:ind w:right="392" w:firstLine="420" w:firstLineChars="200"/>
              <w:rPr>
                <w:rFonts w:ascii="宋体" w:hAnsi="宋体" w:cs="宋体"/>
                <w:szCs w:val="21"/>
              </w:rPr>
            </w:pPr>
            <w:r>
              <w:rPr>
                <w:rFonts w:hint="eastAsia" w:ascii="宋体" w:hAnsi="宋体" w:cs="宋体"/>
                <w:szCs w:val="21"/>
              </w:rPr>
              <w:t>对危险源进行了辨识，考虑了三种时态，过去、现在和将来，三种状态，正常、异常和紧急，按照办公区域及工作过程，另外按照区域及工作过程等进行了辨识。</w:t>
            </w:r>
          </w:p>
          <w:p>
            <w:pPr>
              <w:spacing w:before="93" w:beforeLines="30" w:after="93" w:afterLines="30"/>
              <w:ind w:firstLine="420" w:firstLineChars="200"/>
            </w:pPr>
            <w:r>
              <w:rPr>
                <w:rFonts w:hint="eastAsia" w:ascii="宋体" w:hAnsi="宋体" w:cs="宋体"/>
                <w:szCs w:val="21"/>
              </w:rPr>
              <w:t>提供《职业健康危险源和风险评价表》，识别了办公过程中使用电脑产生触电、潜在火灾等等危险源。</w:t>
            </w:r>
          </w:p>
          <w:p>
            <w:pPr>
              <w:snapToGrid w:val="0"/>
              <w:spacing w:before="93" w:beforeLines="30" w:after="93" w:afterLines="30"/>
              <w:ind w:firstLine="420" w:firstLineChars="200"/>
              <w:rPr>
                <w:rFonts w:ascii="宋体" w:hAnsi="宋体" w:cs="宋体"/>
                <w:szCs w:val="21"/>
              </w:rPr>
            </w:pPr>
            <w:r>
              <w:rPr>
                <w:rFonts w:hint="eastAsia" w:ascii="宋体" w:hAnsi="宋体" w:cs="宋体"/>
                <w:szCs w:val="21"/>
              </w:rPr>
              <w:t xml:space="preserve">查到：《不可接受风险清单》，公司涉及重大危险源 </w:t>
            </w:r>
            <w:r>
              <w:rPr>
                <w:rFonts w:ascii="宋体" w:hAnsi="宋体" w:cs="宋体"/>
                <w:szCs w:val="21"/>
              </w:rPr>
              <w:t>2</w:t>
            </w:r>
            <w:r>
              <w:rPr>
                <w:rFonts w:hint="eastAsia" w:ascii="宋体" w:hAnsi="宋体" w:cs="宋体"/>
                <w:szCs w:val="21"/>
              </w:rPr>
              <w:t xml:space="preserve"> 项：触电、潜在火灾，</w:t>
            </w:r>
            <w:r>
              <w:rPr>
                <w:rFonts w:hint="eastAsia" w:ascii="宋体" w:hAnsi="宋体" w:cs="宋体"/>
                <w:szCs w:val="21"/>
                <w:lang w:eastAsia="zh-CN"/>
              </w:rPr>
              <w:t>采购仓储部</w:t>
            </w:r>
            <w:r>
              <w:rPr>
                <w:rFonts w:hint="eastAsia" w:ascii="宋体" w:hAnsi="宋体" w:cs="宋体"/>
                <w:szCs w:val="21"/>
              </w:rPr>
              <w:t>均涉及。</w:t>
            </w:r>
          </w:p>
          <w:p>
            <w:pPr>
              <w:spacing w:line="360" w:lineRule="auto"/>
              <w:ind w:firstLine="420" w:firstLineChars="200"/>
            </w:pPr>
            <w:r>
              <w:rPr>
                <w:rFonts w:hint="eastAsia" w:ascii="宋体" w:hAnsi="宋体" w:cs="宋体"/>
                <w:szCs w:val="21"/>
                <w:lang w:eastAsia="zh-CN"/>
              </w:rPr>
              <w:t>采购仓储部</w:t>
            </w:r>
            <w:r>
              <w:rPr>
                <w:rFonts w:hint="eastAsia" w:ascii="宋体" w:hAnsi="宋体" w:cs="宋体"/>
                <w:szCs w:val="21"/>
              </w:rPr>
              <w:t>危险源的识别、评价基本符合标准要求。策划通过运行控制、管理方案、培训教育、应急预案等对危险源实施控制，基本适宜。</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spacing w:line="360" w:lineRule="auto"/>
            </w:pPr>
            <w:r>
              <w:rPr>
                <w:rFonts w:hint="eastAsia" w:ascii="宋体" w:hAnsi="宋体" w:cs="Arial"/>
                <w:spacing w:val="-6"/>
                <w:szCs w:val="21"/>
              </w:rPr>
              <w:t>运行策划和控制</w:t>
            </w:r>
          </w:p>
        </w:tc>
        <w:tc>
          <w:tcPr>
            <w:tcW w:w="1175" w:type="dxa"/>
          </w:tcPr>
          <w:p>
            <w:pPr>
              <w:spacing w:line="360" w:lineRule="auto"/>
              <w:rPr>
                <w:rFonts w:ascii="宋体" w:hAnsi="宋体" w:cs="Arial"/>
                <w:spacing w:val="-6"/>
                <w:szCs w:val="21"/>
              </w:rPr>
            </w:pPr>
            <w:r>
              <w:rPr>
                <w:rFonts w:hint="eastAsia" w:ascii="宋体" w:hAnsi="宋体" w:cs="Arial"/>
                <w:spacing w:val="-6"/>
                <w:szCs w:val="21"/>
              </w:rPr>
              <w:t>O:8.1</w:t>
            </w:r>
          </w:p>
        </w:tc>
        <w:tc>
          <w:tcPr>
            <w:tcW w:w="10004" w:type="dxa"/>
          </w:tcPr>
          <w:p>
            <w:pPr>
              <w:spacing w:line="360" w:lineRule="auto"/>
              <w:ind w:firstLine="420" w:firstLineChars="200"/>
            </w:pPr>
            <w:r>
              <w:rPr>
                <w:rFonts w:hint="eastAsia"/>
              </w:rPr>
              <w:t>公司策划了安全管理相关程序文件和管理制度：</w:t>
            </w:r>
          </w:p>
          <w:p>
            <w:pPr>
              <w:spacing w:line="360" w:lineRule="auto"/>
              <w:ind w:firstLine="420" w:firstLineChars="200"/>
            </w:pPr>
            <w:r>
              <w:rPr>
                <w:rFonts w:hint="eastAsia"/>
              </w:rPr>
              <w:t>运行控制程序、消防控制程序、设备控制程序、劳动防护用品控制程序、应急准备和响应控制程序等；</w:t>
            </w:r>
          </w:p>
          <w:p>
            <w:pPr>
              <w:spacing w:line="360" w:lineRule="auto"/>
              <w:ind w:firstLine="420" w:firstLineChars="200"/>
            </w:pPr>
            <w:r>
              <w:rPr>
                <w:rFonts w:hint="eastAsia"/>
              </w:rPr>
              <w:t>现场观察：配置的办公桌符合人机工程要求，干净整洁，照明、通风良好；配置有空调，温度适宜；有少量绿植；</w:t>
            </w:r>
          </w:p>
          <w:p>
            <w:pPr>
              <w:spacing w:line="360" w:lineRule="auto"/>
              <w:ind w:firstLine="420" w:firstLineChars="200"/>
            </w:pPr>
            <w:r>
              <w:rPr>
                <w:rFonts w:hint="eastAsia"/>
              </w:rPr>
              <w:t>查见配置有灭火器、消防栓，状态良好，保留检查记录；监控摄像头运行正常；应急疏散指示符合要求；不定期的对员工进行交通安全教育；</w:t>
            </w:r>
          </w:p>
          <w:p>
            <w:pPr>
              <w:spacing w:line="360" w:lineRule="auto"/>
              <w:ind w:firstLine="420" w:firstLineChars="200"/>
            </w:pPr>
            <w:r>
              <w:rPr>
                <w:rFonts w:hint="eastAsia"/>
              </w:rPr>
              <w:t>节约用水用电、纸张双面使用、禁止吸烟、无乱拉乱接电线、无超额电器使用；</w:t>
            </w:r>
          </w:p>
          <w:p>
            <w:pPr>
              <w:spacing w:line="360" w:lineRule="auto"/>
              <w:ind w:firstLine="420" w:firstLineChars="200"/>
            </w:pPr>
            <w:r>
              <w:rPr>
                <w:rFonts w:hint="eastAsia"/>
              </w:rPr>
              <w:t>办公环境安静，无明显噪声和废气；</w:t>
            </w:r>
          </w:p>
          <w:p>
            <w:pPr>
              <w:spacing w:line="360" w:lineRule="auto"/>
              <w:ind w:firstLine="420" w:firstLineChars="200"/>
            </w:pPr>
            <w:r>
              <w:rPr>
                <w:rFonts w:hint="eastAsia"/>
              </w:rPr>
              <w:t>对部门员工进行了不定期的交通安全宣传；</w:t>
            </w:r>
          </w:p>
          <w:p>
            <w:pPr>
              <w:spacing w:line="360" w:lineRule="auto"/>
              <w:ind w:firstLine="420" w:firstLineChars="200"/>
            </w:pPr>
            <w:r>
              <w:rPr>
                <w:rFonts w:hint="eastAsia"/>
              </w:rPr>
              <w:t>查见“</w:t>
            </w:r>
            <w:r>
              <w:t>相关方告知书</w:t>
            </w:r>
            <w:r>
              <w:rPr>
                <w:rFonts w:hint="eastAsia"/>
              </w:rPr>
              <w:t>”，有效文件，对客户和相关方进行了职业健康安全有关事项的沟通。</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spacing w:line="360" w:lineRule="auto"/>
            </w:pPr>
            <w:r>
              <w:rPr>
                <w:rFonts w:hint="eastAsia" w:ascii="宋体" w:hAnsi="宋体" w:cs="Arial"/>
                <w:spacing w:val="-6"/>
                <w:szCs w:val="21"/>
              </w:rPr>
              <w:t>应急管理</w:t>
            </w:r>
          </w:p>
        </w:tc>
        <w:tc>
          <w:tcPr>
            <w:tcW w:w="1175" w:type="dxa"/>
          </w:tcPr>
          <w:p>
            <w:pPr>
              <w:spacing w:line="360" w:lineRule="auto"/>
              <w:jc w:val="center"/>
              <w:rPr>
                <w:rFonts w:ascii="宋体" w:hAnsi="宋体" w:cs="Arial"/>
                <w:spacing w:val="-6"/>
                <w:szCs w:val="21"/>
              </w:rPr>
            </w:pPr>
            <w:r>
              <w:rPr>
                <w:rFonts w:hint="eastAsia" w:ascii="宋体" w:hAnsi="宋体" w:cs="Arial"/>
                <w:spacing w:val="-6"/>
                <w:szCs w:val="21"/>
              </w:rPr>
              <w:t>O:8.2</w:t>
            </w:r>
          </w:p>
        </w:tc>
        <w:tc>
          <w:tcPr>
            <w:tcW w:w="10004" w:type="dxa"/>
          </w:tcPr>
          <w:p>
            <w:pPr>
              <w:spacing w:line="360" w:lineRule="auto"/>
              <w:ind w:firstLine="420" w:firstLineChars="200"/>
            </w:pPr>
            <w:r>
              <w:rPr>
                <w:rFonts w:hint="eastAsia"/>
              </w:rPr>
              <w:t>执行《应急准备与响应控制程序》。</w:t>
            </w:r>
            <w:r>
              <w:rPr>
                <w:rFonts w:hint="eastAsia" w:ascii="宋体" w:hAnsi="宋体"/>
                <w:sz w:val="24"/>
              </w:rPr>
              <w:t>2021</w:t>
            </w:r>
            <w:r>
              <w:rPr>
                <w:rFonts w:ascii="宋体" w:hAnsi="宋体"/>
                <w:sz w:val="24"/>
              </w:rPr>
              <w:t>.</w:t>
            </w:r>
            <w:r>
              <w:rPr>
                <w:rFonts w:hint="eastAsia" w:ascii="宋体" w:hAnsi="宋体"/>
                <w:sz w:val="24"/>
              </w:rPr>
              <w:t>11</w:t>
            </w:r>
            <w:r>
              <w:rPr>
                <w:rFonts w:ascii="宋体" w:hAnsi="宋体"/>
                <w:sz w:val="24"/>
              </w:rPr>
              <w:t>.20</w:t>
            </w:r>
            <w:r>
              <w:rPr>
                <w:rFonts w:hint="eastAsia"/>
              </w:rPr>
              <w:t>，</w:t>
            </w:r>
            <w:r>
              <w:rPr>
                <w:rFonts w:hint="eastAsia"/>
                <w:lang w:eastAsia="zh-CN"/>
              </w:rPr>
              <w:t>采购仓储部</w:t>
            </w:r>
            <w:r>
              <w:rPr>
                <w:rFonts w:hint="eastAsia"/>
              </w:rPr>
              <w:t>参加了公司组织</w:t>
            </w:r>
            <w:r>
              <w:rPr>
                <w:rFonts w:hint="eastAsia" w:ascii="宋体" w:hAnsi="宋体"/>
                <w:kern w:val="0"/>
                <w:sz w:val="24"/>
              </w:rPr>
              <w:t>火</w:t>
            </w:r>
            <w:r>
              <w:rPr>
                <w:rFonts w:hint="eastAsia"/>
              </w:rPr>
              <w:t>灾</w:t>
            </w:r>
            <w:r>
              <w:rPr>
                <w:rFonts w:hint="eastAsia"/>
                <w:lang w:val="en-US" w:eastAsia="zh-CN"/>
              </w:rPr>
              <w:t>的触电</w:t>
            </w:r>
            <w:bookmarkStart w:id="0" w:name="_GoBack"/>
            <w:bookmarkEnd w:id="0"/>
            <w:r>
              <w:rPr>
                <w:rFonts w:hint="eastAsia"/>
              </w:rPr>
              <w:t>消防演练。记录有演练内容、演练情况记录、效果评价。</w:t>
            </w:r>
          </w:p>
        </w:tc>
        <w:tc>
          <w:tcPr>
            <w:tcW w:w="1585" w:type="dxa"/>
          </w:tcPr>
          <w:p>
            <w:pPr>
              <w:spacing w:line="360" w:lineRule="auto"/>
            </w:pPr>
            <w:r>
              <w:rPr>
                <w:rFonts w:hint="eastAsia"/>
              </w:rPr>
              <w:t>Y</w:t>
            </w:r>
          </w:p>
        </w:tc>
      </w:tr>
    </w:tbl>
    <w:p>
      <w:r>
        <w:ptab w:relativeTo="margin" w:alignment="center" w:leader="none"/>
      </w:r>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2"/>
        <w:rFonts w:hint="default"/>
      </w:rPr>
    </w:pPr>
    <w:r>
      <w:drawing>
        <wp:anchor distT="0" distB="0" distL="114300" distR="114300" simplePos="0" relativeHeight="251660288" behindDoc="0" locked="0" layoutInCell="1" allowOverlap="1">
          <wp:simplePos x="0" y="0"/>
          <wp:positionH relativeFrom="column">
            <wp:posOffset>84455</wp:posOffset>
          </wp:positionH>
          <wp:positionV relativeFrom="paragraph">
            <wp:posOffset>-39370</wp:posOffset>
          </wp:positionV>
          <wp:extent cx="443865" cy="485140"/>
          <wp:effectExtent l="0" t="0" r="133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43865" cy="485140"/>
                  </a:xfrm>
                  <a:prstGeom prst="rect">
                    <a:avLst/>
                  </a:prstGeom>
                  <a:noFill/>
                  <a:ln>
                    <a:noFill/>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pPr>
                            <w:ind w:firstLine="1440" w:firstLineChars="800"/>
                            <w:rPr>
                              <w:rFonts w:hint="eastAsia" w:eastAsia="宋体"/>
                              <w:lang w:eastAsia="zh-CN"/>
                            </w:rPr>
                          </w:pPr>
                          <w:r>
                            <w:rPr>
                              <w:rFonts w:hint="eastAsia"/>
                              <w:sz w:val="18"/>
                              <w:szCs w:val="18"/>
                            </w:rPr>
                            <w:t>IISC-B-II-12(05版</w:t>
                          </w:r>
                          <w:r>
                            <w:rPr>
                              <w:rFonts w:hint="eastAsia"/>
                              <w:sz w:val="18"/>
                              <w:szCs w:val="18"/>
                              <w:lang w:eastAsia="zh-CN"/>
                            </w:rPr>
                            <w:t>）</w:t>
                          </w:r>
                        </w:p>
                      </w:txbxContent>
                    </wps:txbx>
                    <wps:bodyPr upright="1"/>
                  </wps:wsp>
                </a:graphicData>
              </a:graphic>
            </wp:anchor>
          </w:drawing>
        </mc:Choice>
        <mc:Fallback>
          <w:pict>
            <v:shape id="文本框 1025"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pPr>
                      <w:ind w:firstLine="1440" w:firstLineChars="800"/>
                      <w:rPr>
                        <w:rFonts w:hint="eastAsia" w:eastAsia="宋体"/>
                        <w:lang w:eastAsia="zh-CN"/>
                      </w:rPr>
                    </w:pPr>
                    <w:r>
                      <w:rPr>
                        <w:rFonts w:hint="eastAsia"/>
                        <w:sz w:val="18"/>
                        <w:szCs w:val="18"/>
                      </w:rPr>
                      <w:t>IISC-B-II-12(05版</w:t>
                    </w:r>
                    <w:r>
                      <w:rPr>
                        <w:rFonts w:hint="eastAsia"/>
                        <w:sz w:val="18"/>
                        <w:szCs w:val="18"/>
                        <w:lang w:eastAsia="zh-CN"/>
                      </w:rPr>
                      <w:t>）</w:t>
                    </w:r>
                  </w:p>
                </w:txbxContent>
              </v:textbox>
            </v:shape>
          </w:pict>
        </mc:Fallback>
      </mc:AlternateConten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0A"/>
    <w:rsid w:val="000D2315"/>
    <w:rsid w:val="00395413"/>
    <w:rsid w:val="003B6A5C"/>
    <w:rsid w:val="00435DBB"/>
    <w:rsid w:val="00642F30"/>
    <w:rsid w:val="007A7B00"/>
    <w:rsid w:val="00843FD5"/>
    <w:rsid w:val="00891FB2"/>
    <w:rsid w:val="00971096"/>
    <w:rsid w:val="00A460FF"/>
    <w:rsid w:val="00AE0537"/>
    <w:rsid w:val="00DE2F0A"/>
    <w:rsid w:val="0E8E0085"/>
    <w:rsid w:val="0F671A29"/>
    <w:rsid w:val="123F1B81"/>
    <w:rsid w:val="139E0EBC"/>
    <w:rsid w:val="19FA47DE"/>
    <w:rsid w:val="202B1244"/>
    <w:rsid w:val="2FC6304E"/>
    <w:rsid w:val="3763201B"/>
    <w:rsid w:val="417E5054"/>
    <w:rsid w:val="4A0C0C19"/>
    <w:rsid w:val="50D5045E"/>
    <w:rsid w:val="558163B2"/>
    <w:rsid w:val="65AA1FC6"/>
    <w:rsid w:val="6BF47F6B"/>
    <w:rsid w:val="71007C82"/>
    <w:rsid w:val="721E1260"/>
    <w:rsid w:val="7359544C"/>
    <w:rsid w:val="7BB54A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ind w:firstLine="720" w:firstLine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198</Words>
  <Characters>1132</Characters>
  <Lines>9</Lines>
  <Paragraphs>2</Paragraphs>
  <TotalTime>2</TotalTime>
  <ScaleCrop>false</ScaleCrop>
  <LinksUpToDate>false</LinksUpToDate>
  <CharactersWithSpaces>1328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2021-12-25T03:43:00Z</dcterms:created>
  <dc:creator>微软用户</dc:creator>
  <cp:lastModifiedBy>春华秋实</cp:lastModifiedBy>
  <dcterms:modified xsi:type="dcterms:W3CDTF">2022-01-05T03:54:21Z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EF330A98E0064423AEABAD049102D841</vt:lpwstr>
  </property>
</Properties>
</file>