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7"/>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5"/>
        <w:gridCol w:w="1175"/>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1175"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sz w:val="24"/>
                <w:szCs w:val="24"/>
              </w:rPr>
            </w:pPr>
            <w:r>
              <w:rPr>
                <w:rFonts w:hint="eastAsia"/>
                <w:sz w:val="24"/>
                <w:szCs w:val="24"/>
              </w:rPr>
              <w:t>受审核部门：</w:t>
            </w:r>
            <w:r>
              <w:rPr>
                <w:rFonts w:hint="eastAsia"/>
                <w:sz w:val="24"/>
                <w:szCs w:val="24"/>
                <w:lang w:eastAsia="zh-CN"/>
              </w:rPr>
              <w:t>采购仓储部</w:t>
            </w:r>
            <w:r>
              <w:rPr>
                <w:rFonts w:hint="eastAsia"/>
                <w:sz w:val="24"/>
                <w:szCs w:val="24"/>
              </w:rPr>
              <w:t xml:space="preserve">        主管领导：贾瑞琴    陪同人员： 张俊伟</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vMerge w:val="continue"/>
            <w:vAlign w:val="center"/>
          </w:tcPr>
          <w:p/>
        </w:tc>
        <w:tc>
          <w:tcPr>
            <w:tcW w:w="1175" w:type="dxa"/>
            <w:vMerge w:val="continue"/>
            <w:vAlign w:val="center"/>
          </w:tcPr>
          <w:p/>
        </w:tc>
        <w:tc>
          <w:tcPr>
            <w:tcW w:w="10004" w:type="dxa"/>
            <w:vAlign w:val="center"/>
          </w:tcPr>
          <w:p>
            <w:pPr>
              <w:spacing w:before="120"/>
              <w:rPr>
                <w:sz w:val="24"/>
                <w:szCs w:val="24"/>
              </w:rPr>
            </w:pPr>
            <w:r>
              <w:rPr>
                <w:rFonts w:hint="eastAsia"/>
                <w:sz w:val="24"/>
                <w:szCs w:val="24"/>
              </w:rPr>
              <w:t xml:space="preserve">审核员：喻荣秋、王琳（实习） </w:t>
            </w:r>
            <w:r>
              <w:rPr>
                <w:sz w:val="24"/>
                <w:szCs w:val="24"/>
              </w:rPr>
              <w:t xml:space="preserve">  </w:t>
            </w:r>
            <w:r>
              <w:rPr>
                <w:rFonts w:hint="eastAsia"/>
                <w:sz w:val="24"/>
                <w:szCs w:val="24"/>
              </w:rPr>
              <w:t>技术专家：陈俊</w:t>
            </w:r>
            <w:r>
              <w:rPr>
                <w:rFonts w:hint="eastAsia"/>
                <w:lang w:eastAsia="zh-CN"/>
              </w:rPr>
              <w:t>（</w:t>
            </w:r>
            <w:r>
              <w:rPr>
                <w:rFonts w:hint="eastAsia"/>
                <w:lang w:val="en-US" w:eastAsia="zh-CN"/>
              </w:rPr>
              <w:t>提供技术支持）</w:t>
            </w:r>
            <w:r>
              <w:rPr>
                <w:rFonts w:hint="eastAsia"/>
                <w:sz w:val="24"/>
                <w:szCs w:val="24"/>
              </w:rPr>
              <w:t xml:space="preserve">        审核时间：2021.12.24</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vMerge w:val="continue"/>
            <w:vAlign w:val="center"/>
          </w:tcPr>
          <w:p/>
        </w:tc>
        <w:tc>
          <w:tcPr>
            <w:tcW w:w="1175" w:type="dxa"/>
            <w:vMerge w:val="continue"/>
            <w:vAlign w:val="center"/>
          </w:tcPr>
          <w:p/>
        </w:tc>
        <w:tc>
          <w:tcPr>
            <w:tcW w:w="10004" w:type="dxa"/>
            <w:vAlign w:val="center"/>
          </w:tcPr>
          <w:p>
            <w:pPr>
              <w:spacing w:line="360" w:lineRule="auto"/>
              <w:jc w:val="left"/>
              <w:rPr>
                <w:sz w:val="24"/>
                <w:szCs w:val="24"/>
              </w:rPr>
            </w:pPr>
            <w:r>
              <w:rPr>
                <w:rFonts w:hint="eastAsia"/>
                <w:sz w:val="24"/>
                <w:szCs w:val="24"/>
              </w:rPr>
              <w:t>审核条款：E：5.3组织的角色、职责和权限、6.1.2环境因素；6.2目标及其达成的策划；8.1运行策划和控制；8.2应急准备和响应</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r>
              <w:rPr>
                <w:rFonts w:hint="eastAsia"/>
              </w:rPr>
              <w:t>岗位、职责和权限</w:t>
            </w:r>
          </w:p>
        </w:tc>
        <w:tc>
          <w:tcPr>
            <w:tcW w:w="1175" w:type="dxa"/>
          </w:tcPr>
          <w:p>
            <w:pPr>
              <w:spacing w:line="360" w:lineRule="auto"/>
              <w:jc w:val="center"/>
            </w:pPr>
            <w:r>
              <w:rPr>
                <w:rFonts w:hint="eastAsia" w:ascii="宋体" w:hAnsi="宋体" w:cs="Arial"/>
                <w:spacing w:val="-6"/>
                <w:szCs w:val="21"/>
              </w:rPr>
              <w:t>E:5.3</w:t>
            </w:r>
          </w:p>
        </w:tc>
        <w:tc>
          <w:tcPr>
            <w:tcW w:w="10004" w:type="dxa"/>
          </w:tcPr>
          <w:p>
            <w:pPr>
              <w:spacing w:line="360" w:lineRule="auto"/>
              <w:ind w:firstLine="420" w:firstLineChars="200"/>
            </w:pPr>
            <w:r>
              <w:rPr>
                <w:rFonts w:hint="eastAsia"/>
                <w:lang w:eastAsia="zh-CN"/>
              </w:rPr>
              <w:t>采购仓储部</w:t>
            </w:r>
            <w:r>
              <w:rPr>
                <w:rFonts w:hint="eastAsia"/>
              </w:rPr>
              <w:t>现有1人，负责人1人；</w:t>
            </w:r>
          </w:p>
          <w:p>
            <w:pPr>
              <w:pStyle w:val="3"/>
              <w:spacing w:line="440" w:lineRule="exact"/>
              <w:ind w:firstLine="420"/>
              <w:rPr>
                <w:rFonts w:ascii="宋体" w:hAnsi="宋体"/>
              </w:rPr>
            </w:pPr>
            <w:r>
              <w:rPr>
                <w:rFonts w:hint="eastAsia" w:ascii="宋体" w:hAnsi="宋体"/>
              </w:rPr>
              <w:t xml:space="preserve">采购仓储部职责：   </w:t>
            </w:r>
          </w:p>
          <w:p>
            <w:pPr>
              <w:pStyle w:val="3"/>
              <w:spacing w:line="440" w:lineRule="exact"/>
              <w:ind w:firstLine="420"/>
              <w:rPr>
                <w:rFonts w:ascii="宋体" w:hAnsi="宋体"/>
              </w:rPr>
            </w:pPr>
            <w:r>
              <w:rPr>
                <w:rFonts w:hint="eastAsia" w:ascii="宋体" w:hAnsi="宋体"/>
              </w:rPr>
              <w:t>a )负责劳保用品，设备和耗材的采购和对供应商评价</w:t>
            </w:r>
          </w:p>
          <w:p>
            <w:pPr>
              <w:pStyle w:val="3"/>
              <w:spacing w:line="440" w:lineRule="exact"/>
              <w:ind w:firstLine="420"/>
              <w:rPr>
                <w:rFonts w:ascii="宋体" w:hAnsi="宋体"/>
                <w:color w:val="000000"/>
                <w:sz w:val="24"/>
              </w:rPr>
            </w:pPr>
            <w:r>
              <w:rPr>
                <w:rFonts w:hint="eastAsia" w:ascii="宋体" w:hAnsi="宋体"/>
              </w:rPr>
              <w:t>b )负责</w:t>
            </w:r>
            <w:r>
              <w:rPr>
                <w:rFonts w:hint="eastAsia" w:ascii="宋体" w:hAnsi="宋体"/>
                <w:color w:val="000000"/>
                <w:sz w:val="24"/>
              </w:rPr>
              <w:t>产品的入库验收</w:t>
            </w:r>
          </w:p>
          <w:p>
            <w:pPr>
              <w:pStyle w:val="3"/>
              <w:spacing w:line="440" w:lineRule="exact"/>
              <w:ind w:firstLine="420"/>
              <w:rPr>
                <w:rFonts w:ascii="宋体" w:hAnsi="宋体"/>
              </w:rPr>
            </w:pPr>
            <w:r>
              <w:rPr>
                <w:rFonts w:hint="eastAsia" w:ascii="宋体" w:hAnsi="宋体"/>
              </w:rPr>
              <w:t>c</w:t>
            </w:r>
            <w:r>
              <w:rPr>
                <w:rFonts w:ascii="宋体" w:hAnsi="宋体"/>
              </w:rPr>
              <w:t>)</w:t>
            </w:r>
            <w:r>
              <w:rPr>
                <w:rFonts w:hint="eastAsia" w:ascii="宋体" w:hAnsi="宋体"/>
              </w:rPr>
              <w:t>负责入库产品不合格评价和处理</w:t>
            </w:r>
          </w:p>
          <w:p>
            <w:pPr>
              <w:pStyle w:val="3"/>
              <w:spacing w:line="440" w:lineRule="exact"/>
              <w:ind w:firstLine="420"/>
              <w:rPr>
                <w:rFonts w:ascii="宋体" w:hAnsi="宋体"/>
              </w:rPr>
            </w:pPr>
            <w:r>
              <w:rPr>
                <w:rFonts w:hint="eastAsia" w:ascii="宋体" w:hAnsi="宋体"/>
              </w:rPr>
              <w:t>d</w:t>
            </w:r>
            <w:r>
              <w:rPr>
                <w:rFonts w:ascii="宋体" w:hAnsi="宋体"/>
              </w:rPr>
              <w:t>)</w:t>
            </w:r>
            <w:r>
              <w:rPr>
                <w:rFonts w:hint="eastAsia" w:ascii="宋体" w:hAnsi="宋体"/>
              </w:rPr>
              <w:t>负责入库产品进行正确标识，便于识别</w:t>
            </w:r>
          </w:p>
          <w:p>
            <w:pPr>
              <w:pStyle w:val="3"/>
              <w:spacing w:line="440" w:lineRule="exact"/>
              <w:ind w:firstLine="420"/>
              <w:rPr>
                <w:rFonts w:ascii="宋体" w:hAnsi="宋体"/>
              </w:rPr>
            </w:pPr>
            <w:r>
              <w:rPr>
                <w:rFonts w:hint="eastAsia" w:ascii="宋体" w:hAnsi="宋体"/>
              </w:rPr>
              <w:t>e</w:t>
            </w:r>
            <w:r>
              <w:rPr>
                <w:rFonts w:ascii="宋体" w:hAnsi="宋体"/>
              </w:rPr>
              <w:t>)</w:t>
            </w:r>
            <w:r>
              <w:rPr>
                <w:rFonts w:hint="eastAsia" w:ascii="宋体" w:hAnsi="宋体"/>
              </w:rPr>
              <w:t xml:space="preserve"> 负责对出厂产品进行包装防护</w:t>
            </w:r>
          </w:p>
          <w:p>
            <w:pPr>
              <w:pStyle w:val="3"/>
              <w:spacing w:line="440" w:lineRule="exact"/>
              <w:ind w:firstLine="42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f）负责本部门环境因素的识别和控制</w:t>
            </w:r>
          </w:p>
          <w:p>
            <w:pPr>
              <w:pStyle w:val="3"/>
              <w:spacing w:line="440" w:lineRule="exact"/>
              <w:ind w:firstLine="420"/>
              <w:rPr>
                <w:rFonts w:ascii="宋体" w:hAnsi="宋体"/>
                <w:color w:val="000000" w:themeColor="text1"/>
                <w:szCs w:val="21"/>
                <w14:textFill>
                  <w14:solidFill>
                    <w14:schemeClr w14:val="tx1"/>
                  </w14:solidFill>
                </w14:textFill>
              </w:rPr>
            </w:pPr>
            <w:r>
              <w:rPr>
                <w:rFonts w:hint="eastAsia" w:ascii="宋体" w:hAnsi="宋体"/>
                <w:color w:val="000000" w:themeColor="text1"/>
                <w14:textFill>
                  <w14:solidFill>
                    <w14:schemeClr w14:val="tx1"/>
                  </w14:solidFill>
                </w14:textFill>
              </w:rPr>
              <w:t>g)负责本部门</w:t>
            </w:r>
            <w:r>
              <w:rPr>
                <w:rFonts w:hint="eastAsia" w:ascii="宋体" w:hAnsi="宋体"/>
                <w:color w:val="000000" w:themeColor="text1"/>
                <w:szCs w:val="21"/>
                <w14:textFill>
                  <w14:solidFill>
                    <w14:schemeClr w14:val="tx1"/>
                  </w14:solidFill>
                </w14:textFill>
              </w:rPr>
              <w:t>职业健康安全风险和其他职业健康安全管理体系风险的评价</w:t>
            </w:r>
          </w:p>
          <w:p>
            <w:pPr>
              <w:pStyle w:val="3"/>
              <w:spacing w:line="440" w:lineRule="exact"/>
              <w:ind w:firstLine="42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h)负责识别职业健康安全机遇和其他机遇</w:t>
            </w:r>
          </w:p>
          <w:p>
            <w:pPr>
              <w:pStyle w:val="3"/>
              <w:spacing w:line="440" w:lineRule="exact"/>
              <w:ind w:firstLine="420"/>
            </w:pPr>
            <w:r>
              <w:rPr>
                <w:rFonts w:hint="eastAsia" w:ascii="宋体" w:hAnsi="宋体"/>
                <w:color w:val="000000" w:themeColor="text1"/>
                <w:szCs w:val="21"/>
                <w14:textFill>
                  <w14:solidFill>
                    <w14:schemeClr w14:val="tx1"/>
                  </w14:solidFill>
                </w14:textFill>
              </w:rPr>
              <w:t>部门负责人对本部门职责比较清晰。</w:t>
            </w:r>
          </w:p>
        </w:tc>
        <w:tc>
          <w:tcPr>
            <w:tcW w:w="1585" w:type="dxa"/>
          </w:tcPr>
          <w:p>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r>
              <w:rPr>
                <w:rFonts w:hint="eastAsia"/>
              </w:rPr>
              <w:t>目标及其实现的策划</w:t>
            </w:r>
          </w:p>
        </w:tc>
        <w:tc>
          <w:tcPr>
            <w:tcW w:w="1175" w:type="dxa"/>
          </w:tcPr>
          <w:p>
            <w:pPr>
              <w:spacing w:line="360" w:lineRule="auto"/>
              <w:jc w:val="center"/>
            </w:pPr>
            <w:r>
              <w:rPr>
                <w:rFonts w:hint="eastAsia" w:ascii="宋体" w:hAnsi="宋体" w:cs="Arial"/>
                <w:spacing w:val="-6"/>
                <w:szCs w:val="21"/>
              </w:rPr>
              <w:t>E:6.2</w:t>
            </w:r>
          </w:p>
        </w:tc>
        <w:tc>
          <w:tcPr>
            <w:tcW w:w="10004" w:type="dxa"/>
          </w:tcPr>
          <w:p>
            <w:pPr>
              <w:rPr>
                <w:rFonts w:hAnsi="宋体" w:cs="宋体"/>
                <w:b/>
                <w:bCs/>
                <w:kern w:val="0"/>
              </w:rPr>
            </w:pPr>
            <w:r>
              <w:rPr>
                <w:rFonts w:hint="eastAsia"/>
              </w:rPr>
              <w:t xml:space="preserve"> </w:t>
            </w:r>
            <w:r>
              <w:rPr>
                <w:rFonts w:hint="eastAsia" w:hAnsi="宋体" w:cs="宋体"/>
                <w:b/>
                <w:bCs/>
                <w:kern w:val="0"/>
              </w:rPr>
              <w:t>环境目标和指标：</w:t>
            </w:r>
          </w:p>
          <w:p>
            <w:pPr>
              <w:rPr>
                <w:rFonts w:hAnsi="宋体" w:cs="宋体"/>
                <w:b/>
                <w:bCs/>
                <w:kern w:val="0"/>
              </w:rPr>
            </w:pPr>
            <w:r>
              <w:rPr>
                <w:rFonts w:hint="eastAsia" w:hAnsi="宋体" w:cs="宋体"/>
                <w:b/>
                <w:bCs/>
                <w:kern w:val="0"/>
              </w:rPr>
              <w:t>――</w:t>
            </w:r>
            <w:r>
              <w:rPr>
                <w:rFonts w:hint="eastAsia" w:ascii="宋体" w:hAnsi="宋体" w:cs="宋体"/>
                <w:sz w:val="24"/>
                <w:szCs w:val="24"/>
              </w:rPr>
              <w:t>环境污染发生次数为</w:t>
            </w:r>
            <w:r>
              <w:rPr>
                <w:rFonts w:ascii="宋体" w:hAnsi="宋体" w:cs="宋体"/>
                <w:sz w:val="24"/>
                <w:szCs w:val="24"/>
              </w:rPr>
              <w:t>0</w:t>
            </w:r>
          </w:p>
          <w:p>
            <w:pPr>
              <w:rPr>
                <w:rFonts w:hAnsi="宋体" w:cs="宋体"/>
                <w:b/>
                <w:bCs/>
                <w:kern w:val="0"/>
              </w:rPr>
            </w:pPr>
            <w:r>
              <w:rPr>
                <w:rFonts w:hint="eastAsia" w:hAnsi="宋体" w:cs="宋体"/>
                <w:b/>
                <w:bCs/>
                <w:kern w:val="0"/>
              </w:rPr>
              <w:t>――</w:t>
            </w:r>
            <w:r>
              <w:rPr>
                <w:rFonts w:hint="eastAsia" w:ascii="宋体" w:hAnsi="宋体" w:cs="宋体"/>
                <w:sz w:val="24"/>
                <w:szCs w:val="24"/>
              </w:rPr>
              <w:t>固废违规丢弃为0</w:t>
            </w:r>
          </w:p>
          <w:p>
            <w:pPr>
              <w:ind w:firstLine="1265" w:firstLineChars="600"/>
              <w:rPr>
                <w:rFonts w:hAnsi="宋体" w:cs="宋体"/>
                <w:b/>
                <w:bCs/>
                <w:kern w:val="0"/>
              </w:rPr>
            </w:pPr>
            <w:r>
              <w:rPr>
                <w:rFonts w:hint="eastAsia" w:hAnsi="宋体" w:cs="宋体"/>
                <w:b/>
                <w:bCs/>
                <w:kern w:val="0"/>
              </w:rPr>
              <w:t xml:space="preserve"> </w:t>
            </w:r>
          </w:p>
          <w:p>
            <w:pPr>
              <w:spacing w:line="280" w:lineRule="exact"/>
            </w:pPr>
            <w:r>
              <w:rPr>
                <w:rFonts w:hint="eastAsia"/>
              </w:rPr>
              <w:t>目标可测量，与公司管理方针一致。</w:t>
            </w:r>
          </w:p>
          <w:p>
            <w:pPr>
              <w:spacing w:line="280" w:lineRule="exact"/>
            </w:pPr>
            <w:r>
              <w:rPr>
                <w:rFonts w:hint="eastAsia"/>
              </w:rPr>
              <w:t>每年由综合部按公司管理目标考核要求统计考核公司管理目标完成情况，提交管理评审会议。查到2</w:t>
            </w:r>
            <w:r>
              <w:t>02</w:t>
            </w:r>
            <w:r>
              <w:rPr>
                <w:rFonts w:hint="eastAsia"/>
              </w:rPr>
              <w:t>1年1</w:t>
            </w:r>
            <w:r>
              <w:rPr>
                <w:rFonts w:hint="eastAsia"/>
                <w:lang w:val="en-US" w:eastAsia="zh-CN"/>
              </w:rPr>
              <w:t>1</w:t>
            </w:r>
            <w:r>
              <w:rPr>
                <w:rFonts w:hint="eastAsia"/>
              </w:rPr>
              <w:t>月 公司管理目标完成情况，各项目标均已完成。</w:t>
            </w:r>
          </w:p>
          <w:p>
            <w:pPr>
              <w:spacing w:line="280" w:lineRule="exact"/>
            </w:pPr>
            <w:r>
              <w:rPr>
                <w:rFonts w:hint="eastAsia"/>
              </w:rPr>
              <w:t>针对重要环境因素、不可接受风险制订了管理方案并予以实施，基本有效 。</w:t>
            </w:r>
          </w:p>
        </w:tc>
        <w:tc>
          <w:tcPr>
            <w:tcW w:w="1585" w:type="dxa"/>
          </w:tcPr>
          <w:p>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r>
              <w:rPr>
                <w:rFonts w:hint="eastAsia"/>
              </w:rPr>
              <w:t>环境因素的识别与评价</w:t>
            </w:r>
          </w:p>
          <w:p/>
        </w:tc>
        <w:tc>
          <w:tcPr>
            <w:tcW w:w="1175" w:type="dxa"/>
          </w:tcPr>
          <w:p>
            <w:pPr>
              <w:spacing w:line="360" w:lineRule="auto"/>
              <w:jc w:val="center"/>
              <w:rPr>
                <w:rFonts w:ascii="宋体" w:hAnsi="宋体" w:cs="Arial"/>
                <w:spacing w:val="-6"/>
                <w:szCs w:val="21"/>
              </w:rPr>
            </w:pPr>
            <w:r>
              <w:rPr>
                <w:rFonts w:hint="eastAsia" w:ascii="宋体" w:hAnsi="宋体" w:cs="Arial"/>
                <w:spacing w:val="-6"/>
                <w:szCs w:val="21"/>
              </w:rPr>
              <w:t>E:6.1.2</w:t>
            </w:r>
          </w:p>
          <w:p>
            <w:pPr>
              <w:spacing w:line="360" w:lineRule="auto"/>
              <w:jc w:val="center"/>
            </w:pPr>
          </w:p>
        </w:tc>
        <w:tc>
          <w:tcPr>
            <w:tcW w:w="10004" w:type="dxa"/>
          </w:tcPr>
          <w:p>
            <w:pPr>
              <w:spacing w:line="360" w:lineRule="auto"/>
            </w:pPr>
            <w:r>
              <w:rPr>
                <w:rFonts w:hint="eastAsia"/>
              </w:rPr>
              <w:t>有《</w:t>
            </w:r>
            <w:r>
              <w:rPr>
                <w:rFonts w:hint="eastAsia" w:ascii="宋体" w:hAnsi="宋体"/>
                <w:iCs/>
              </w:rPr>
              <w:t>环境因素识别与评价控制程序》</w:t>
            </w:r>
            <w:r>
              <w:rPr>
                <w:rFonts w:hint="eastAsia"/>
              </w:rPr>
              <w:t>，为有效文件。</w:t>
            </w:r>
          </w:p>
          <w:p>
            <w:pPr>
              <w:spacing w:line="360" w:lineRule="auto"/>
              <w:ind w:firstLine="420" w:firstLineChars="200"/>
              <w:rPr>
                <w:rFonts w:hint="eastAsia"/>
              </w:rPr>
            </w:pPr>
            <w:r>
              <w:rPr>
                <w:rFonts w:hint="eastAsia"/>
              </w:rPr>
              <w:t>对环境因素进行了辨识，考虑了三种时态，过去、现在和将来，三种状态，正常、异常和紧急，按照办公区域及工作过程，另外按照区域及工作过程等进行了辨识。</w:t>
            </w:r>
          </w:p>
          <w:p>
            <w:pPr>
              <w:spacing w:line="360" w:lineRule="auto"/>
              <w:ind w:firstLine="420" w:firstLineChars="200"/>
              <w:rPr>
                <w:rFonts w:hint="eastAsia"/>
              </w:rPr>
            </w:pPr>
            <w:r>
              <w:rPr>
                <w:rFonts w:hint="eastAsia"/>
              </w:rPr>
              <w:t>查《环境因素调查评价清单》，识别了日常办公过程中的固废、水资源消耗、电能消耗、火灾等环境因素。</w:t>
            </w:r>
          </w:p>
          <w:p>
            <w:pPr>
              <w:spacing w:line="360" w:lineRule="auto"/>
              <w:ind w:firstLine="420" w:firstLineChars="200"/>
              <w:rPr>
                <w:rFonts w:hint="eastAsia"/>
              </w:rPr>
            </w:pPr>
            <w:r>
              <w:rPr>
                <w:rFonts w:hint="eastAsia"/>
              </w:rPr>
              <w:t>采用评分标准以打分的方式评价重要环境因素，公司重要环境因素为潜在火灾。</w:t>
            </w:r>
            <w:r>
              <w:rPr>
                <w:rFonts w:hint="eastAsia"/>
                <w:lang w:eastAsia="zh-CN"/>
              </w:rPr>
              <w:t>采购仓储部</w:t>
            </w:r>
            <w:r>
              <w:rPr>
                <w:rFonts w:hint="eastAsia"/>
              </w:rPr>
              <w:t>也涉及在内。</w:t>
            </w:r>
          </w:p>
          <w:p>
            <w:pPr>
              <w:spacing w:line="360" w:lineRule="auto"/>
              <w:ind w:firstLine="420" w:firstLineChars="200"/>
            </w:pPr>
            <w:r>
              <w:rPr>
                <w:rFonts w:hint="eastAsia"/>
                <w:bCs/>
              </w:rPr>
              <w:t>环</w:t>
            </w:r>
            <w:r>
              <w:rPr>
                <w:rFonts w:hint="eastAsia"/>
              </w:rPr>
              <w:t>境因素及危险源识别和评价基本适宜。</w:t>
            </w:r>
          </w:p>
          <w:p>
            <w:pPr>
              <w:spacing w:line="360" w:lineRule="auto"/>
              <w:ind w:firstLine="420" w:firstLineChars="200"/>
              <w:rPr>
                <w:rFonts w:hint="eastAsia"/>
              </w:rPr>
            </w:pPr>
            <w:r>
              <w:rPr>
                <w:rFonts w:hint="eastAsia"/>
              </w:rPr>
              <w:t>策划了控制措施，制订了“环境安全管理方案”，明确了控制措施、时间要求、责任部门、责任和资源计划。</w:t>
            </w:r>
          </w:p>
        </w:tc>
        <w:tc>
          <w:tcPr>
            <w:tcW w:w="1585" w:type="dxa"/>
          </w:tcPr>
          <w:p>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spacing w:line="360" w:lineRule="auto"/>
            </w:pPr>
            <w:r>
              <w:rPr>
                <w:rFonts w:hint="eastAsia" w:ascii="宋体" w:hAnsi="宋体" w:cs="Arial"/>
                <w:spacing w:val="-6"/>
                <w:szCs w:val="21"/>
              </w:rPr>
              <w:t>运行策划和控制</w:t>
            </w:r>
          </w:p>
        </w:tc>
        <w:tc>
          <w:tcPr>
            <w:tcW w:w="1175" w:type="dxa"/>
          </w:tcPr>
          <w:p>
            <w:pPr>
              <w:spacing w:line="360" w:lineRule="auto"/>
              <w:rPr>
                <w:rFonts w:ascii="宋体" w:hAnsi="宋体" w:cs="Arial"/>
                <w:spacing w:val="-6"/>
                <w:szCs w:val="21"/>
              </w:rPr>
            </w:pPr>
            <w:r>
              <w:rPr>
                <w:rFonts w:hint="eastAsia" w:ascii="宋体" w:hAnsi="宋体" w:cs="Arial"/>
                <w:spacing w:val="-6"/>
                <w:szCs w:val="21"/>
              </w:rPr>
              <w:t>E:8.1</w:t>
            </w:r>
          </w:p>
        </w:tc>
        <w:tc>
          <w:tcPr>
            <w:tcW w:w="10004" w:type="dxa"/>
          </w:tcPr>
          <w:p>
            <w:pPr>
              <w:spacing w:line="360" w:lineRule="auto"/>
              <w:ind w:firstLine="420" w:firstLineChars="200"/>
            </w:pPr>
            <w:r>
              <w:rPr>
                <w:rFonts w:hint="eastAsia"/>
              </w:rPr>
              <w:t>公司策划了环境管理相关程序文件和管理制度：</w:t>
            </w:r>
          </w:p>
          <w:p>
            <w:pPr>
              <w:spacing w:line="360" w:lineRule="auto"/>
              <w:ind w:firstLine="420" w:firstLineChars="200"/>
            </w:pPr>
            <w:r>
              <w:rPr>
                <w:rFonts w:hint="eastAsia"/>
              </w:rPr>
              <w:t>运行控制程序、废弃物控制程序、消防控制程序、设备控制程序、节能降耗控制程序、应急准备和响应控制程序等；</w:t>
            </w:r>
          </w:p>
          <w:p>
            <w:pPr>
              <w:spacing w:line="360" w:lineRule="auto"/>
              <w:ind w:firstLine="420" w:firstLineChars="200"/>
            </w:pPr>
            <w:r>
              <w:rPr>
                <w:rFonts w:hint="eastAsia"/>
              </w:rPr>
              <w:t>公司还制定了固体废弃物管理规定、约用电管理规定、节约用水管理规定、消防安全管理规定等管理制度。</w:t>
            </w:r>
          </w:p>
          <w:p>
            <w:pPr>
              <w:spacing w:line="360" w:lineRule="auto"/>
              <w:ind w:firstLine="420" w:firstLineChars="200"/>
            </w:pPr>
            <w:r>
              <w:rPr>
                <w:rFonts w:hint="eastAsia"/>
              </w:rPr>
              <w:t xml:space="preserve"> 现场观察：配置的办公桌符合人机工程要求，干净整洁，照明、通风良好；配置有空调，温度适宜；有少量绿植；</w:t>
            </w:r>
          </w:p>
          <w:p>
            <w:pPr>
              <w:spacing w:line="360" w:lineRule="auto"/>
              <w:ind w:firstLine="420" w:firstLineChars="200"/>
            </w:pPr>
            <w:r>
              <w:rPr>
                <w:rFonts w:hint="eastAsia"/>
              </w:rPr>
              <w:t>查见配置有灭火器、消防栓，状态良好，保留检查记录；监控摄像头运行正常；应急疏散指示符合要求；不定期的对员工进行交通安全教育；</w:t>
            </w:r>
          </w:p>
          <w:p>
            <w:pPr>
              <w:spacing w:line="360" w:lineRule="auto"/>
              <w:ind w:firstLine="420" w:firstLineChars="200"/>
            </w:pPr>
            <w:r>
              <w:rPr>
                <w:rFonts w:hint="eastAsia"/>
              </w:rPr>
              <w:t>节约用水用电、纸张双面使用、禁止吸烟、无乱拉乱接电线、无超额电器使用；</w:t>
            </w:r>
          </w:p>
          <w:p>
            <w:pPr>
              <w:spacing w:line="360" w:lineRule="auto"/>
              <w:ind w:firstLine="420" w:firstLineChars="200"/>
            </w:pPr>
            <w:r>
              <w:rPr>
                <w:rFonts w:hint="eastAsia"/>
              </w:rPr>
              <w:t>生活废水经市政管网排放；无工业废水；</w:t>
            </w:r>
          </w:p>
          <w:p>
            <w:pPr>
              <w:spacing w:line="360" w:lineRule="auto"/>
              <w:ind w:firstLine="420" w:firstLineChars="200"/>
            </w:pPr>
            <w:r>
              <w:rPr>
                <w:rFonts w:hint="eastAsia"/>
              </w:rPr>
              <w:t>办公环境安静，无明显噪声和废气；</w:t>
            </w:r>
            <w:bookmarkStart w:id="0" w:name="_GoBack"/>
            <w:bookmarkEnd w:id="0"/>
          </w:p>
          <w:p>
            <w:pPr>
              <w:spacing w:line="360" w:lineRule="auto"/>
              <w:ind w:firstLine="420" w:firstLineChars="200"/>
            </w:pPr>
            <w:r>
              <w:rPr>
                <w:rFonts w:hint="eastAsia"/>
              </w:rPr>
              <w:t>办公用固废集中回收，市政环卫部门收集处理；</w:t>
            </w:r>
          </w:p>
          <w:p>
            <w:pPr>
              <w:spacing w:line="360" w:lineRule="auto"/>
              <w:ind w:firstLine="420" w:firstLineChars="200"/>
            </w:pPr>
            <w:r>
              <w:rPr>
                <w:rFonts w:hint="eastAsia"/>
              </w:rPr>
              <w:t>办公用墨盒硒鼓等危废以旧换新。</w:t>
            </w:r>
          </w:p>
          <w:p>
            <w:pPr>
              <w:spacing w:line="360" w:lineRule="auto"/>
              <w:ind w:firstLine="420" w:firstLineChars="200"/>
            </w:pPr>
            <w:r>
              <w:rPr>
                <w:rFonts w:hint="eastAsia"/>
              </w:rPr>
              <w:t>对部门员工进行了不定期的交通安全宣传；</w:t>
            </w:r>
          </w:p>
          <w:p>
            <w:pPr>
              <w:spacing w:line="360" w:lineRule="auto"/>
              <w:ind w:firstLine="420" w:firstLineChars="200"/>
            </w:pPr>
            <w:r>
              <w:rPr>
                <w:rFonts w:hint="eastAsia"/>
              </w:rPr>
              <w:t>查见“</w:t>
            </w:r>
            <w:r>
              <w:t>相关方告知书</w:t>
            </w:r>
            <w:r>
              <w:rPr>
                <w:rFonts w:hint="eastAsia"/>
              </w:rPr>
              <w:t>”，有效文件，对客户和相关方进行了环境有关事项的沟通。</w:t>
            </w:r>
          </w:p>
        </w:tc>
        <w:tc>
          <w:tcPr>
            <w:tcW w:w="1585" w:type="dxa"/>
          </w:tcPr>
          <w:p>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spacing w:line="360" w:lineRule="auto"/>
            </w:pPr>
            <w:r>
              <w:rPr>
                <w:rFonts w:hint="eastAsia" w:ascii="宋体" w:hAnsi="宋体" w:cs="Arial"/>
                <w:spacing w:val="-6"/>
                <w:szCs w:val="21"/>
              </w:rPr>
              <w:t>应急管理</w:t>
            </w:r>
          </w:p>
        </w:tc>
        <w:tc>
          <w:tcPr>
            <w:tcW w:w="1175" w:type="dxa"/>
          </w:tcPr>
          <w:p>
            <w:pPr>
              <w:spacing w:line="360" w:lineRule="auto"/>
              <w:jc w:val="center"/>
              <w:rPr>
                <w:rFonts w:ascii="宋体" w:hAnsi="宋体" w:cs="Arial"/>
                <w:spacing w:val="-6"/>
                <w:szCs w:val="21"/>
              </w:rPr>
            </w:pPr>
            <w:r>
              <w:rPr>
                <w:rFonts w:hint="eastAsia" w:ascii="宋体" w:hAnsi="宋体" w:cs="Arial"/>
                <w:spacing w:val="-6"/>
                <w:szCs w:val="21"/>
              </w:rPr>
              <w:t>E:8.2</w:t>
            </w:r>
          </w:p>
        </w:tc>
        <w:tc>
          <w:tcPr>
            <w:tcW w:w="10004" w:type="dxa"/>
          </w:tcPr>
          <w:p>
            <w:pPr>
              <w:spacing w:line="360" w:lineRule="auto"/>
              <w:ind w:firstLine="420" w:firstLineChars="200"/>
            </w:pPr>
            <w:r>
              <w:rPr>
                <w:rFonts w:hint="eastAsia"/>
              </w:rPr>
              <w:t>执行《应急准备与响应控制程序》。</w:t>
            </w:r>
            <w:r>
              <w:rPr>
                <w:rFonts w:hint="eastAsia" w:ascii="宋体" w:hAnsi="宋体"/>
                <w:sz w:val="24"/>
              </w:rPr>
              <w:t>2021</w:t>
            </w:r>
            <w:r>
              <w:rPr>
                <w:rFonts w:ascii="宋体" w:hAnsi="宋体"/>
                <w:sz w:val="24"/>
              </w:rPr>
              <w:t>.</w:t>
            </w:r>
            <w:r>
              <w:rPr>
                <w:rFonts w:hint="eastAsia" w:ascii="宋体" w:hAnsi="宋体"/>
                <w:sz w:val="24"/>
              </w:rPr>
              <w:t>11</w:t>
            </w:r>
            <w:r>
              <w:rPr>
                <w:rFonts w:ascii="宋体" w:hAnsi="宋体"/>
                <w:sz w:val="24"/>
              </w:rPr>
              <w:t>.20</w:t>
            </w:r>
            <w:r>
              <w:rPr>
                <w:rFonts w:hint="eastAsia"/>
              </w:rPr>
              <w:t>，</w:t>
            </w:r>
            <w:r>
              <w:rPr>
                <w:rFonts w:hint="eastAsia"/>
                <w:lang w:eastAsia="zh-CN"/>
              </w:rPr>
              <w:t>采购仓储部</w:t>
            </w:r>
            <w:r>
              <w:rPr>
                <w:rFonts w:hint="eastAsia"/>
              </w:rPr>
              <w:t>参加了公司组织</w:t>
            </w:r>
            <w:r>
              <w:rPr>
                <w:rFonts w:hint="eastAsia" w:ascii="宋体" w:hAnsi="宋体"/>
                <w:kern w:val="0"/>
                <w:sz w:val="24"/>
              </w:rPr>
              <w:t>火</w:t>
            </w:r>
            <w:r>
              <w:rPr>
                <w:rFonts w:hint="eastAsia"/>
              </w:rPr>
              <w:t>灾消防演练。记录有演练内容、演练情况记录、效果评价。</w:t>
            </w:r>
          </w:p>
        </w:tc>
        <w:tc>
          <w:tcPr>
            <w:tcW w:w="1585" w:type="dxa"/>
          </w:tcPr>
          <w:p>
            <w:pPr>
              <w:spacing w:line="360" w:lineRule="auto"/>
            </w:pPr>
            <w:r>
              <w:rPr>
                <w:rFonts w:hint="eastAsia"/>
              </w:rPr>
              <w:t>Y</w:t>
            </w:r>
          </w:p>
        </w:tc>
      </w:tr>
    </w:tbl>
    <w:p>
      <w:r>
        <w:ptab w:relativeTo="margin" w:alignment="center" w:leader="none"/>
      </w:r>
    </w:p>
    <w:p/>
    <w:p>
      <w:pPr>
        <w:pStyle w:val="5"/>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5"/>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990" w:firstLineChars="550"/>
      <w:jc w:val="left"/>
      <w:rPr>
        <w:rStyle w:val="12"/>
        <w:rFonts w:hint="default"/>
      </w:rPr>
    </w:pPr>
    <w:r>
      <w:drawing>
        <wp:anchor distT="0" distB="0" distL="114300" distR="114300" simplePos="0" relativeHeight="251660288" behindDoc="0" locked="0" layoutInCell="1" allowOverlap="1">
          <wp:simplePos x="0" y="0"/>
          <wp:positionH relativeFrom="column">
            <wp:posOffset>84455</wp:posOffset>
          </wp:positionH>
          <wp:positionV relativeFrom="paragraph">
            <wp:posOffset>-39370</wp:posOffset>
          </wp:positionV>
          <wp:extent cx="443865" cy="485140"/>
          <wp:effectExtent l="0" t="0" r="13335" b="10160"/>
          <wp:wrapTopAndBottom/>
          <wp:docPr id="3"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0" descr="新LOGO.png"/>
                  <pic:cNvPicPr>
                    <a:picLocks noChangeAspect="1"/>
                  </pic:cNvPicPr>
                </pic:nvPicPr>
                <pic:blipFill>
                  <a:blip r:embed="rId1"/>
                  <a:stretch>
                    <a:fillRect/>
                  </a:stretch>
                </pic:blipFill>
                <pic:spPr>
                  <a:xfrm>
                    <a:off x="0" y="0"/>
                    <a:ext cx="443865" cy="485140"/>
                  </a:xfrm>
                  <a:prstGeom prst="rect">
                    <a:avLst/>
                  </a:prstGeom>
                  <a:noFill/>
                  <a:ln>
                    <a:noFill/>
                  </a:ln>
                </pic:spPr>
              </pic:pic>
            </a:graphicData>
          </a:graphic>
        </wp:anchor>
      </w:drawing>
    </w:r>
    <w:r>
      <w:rPr>
        <w:rStyle w:val="12"/>
        <w:rFonts w:hint="default"/>
      </w:rPr>
      <w:t>北京国标联合认证有限公司</w:t>
    </w:r>
    <w:r>
      <w:rPr>
        <w:rStyle w:val="12"/>
        <w:rFonts w:hint="default"/>
      </w:rPr>
      <w:tab/>
    </w:r>
    <w:r>
      <w:rPr>
        <w:rStyle w:val="12"/>
        <w:rFonts w:hint="default"/>
      </w:rPr>
      <w:tab/>
    </w:r>
    <w:r>
      <w:rPr>
        <w:rStyle w:val="12"/>
        <w:rFonts w:hint="default"/>
      </w:rPr>
      <w:tab/>
    </w:r>
  </w:p>
  <w:p>
    <w:pPr>
      <w:pStyle w:val="6"/>
      <w:pBdr>
        <w:bottom w:val="none" w:color="auto" w:sz="0" w:space="0"/>
      </w:pBdr>
      <w:spacing w:line="320" w:lineRule="exact"/>
      <w:ind w:firstLine="900" w:firstLineChars="500"/>
      <w:jc w:val="left"/>
    </w:pPr>
    <w:r>
      <mc:AlternateContent>
        <mc:Choice Requires="wps">
          <w:drawing>
            <wp:anchor distT="0" distB="0" distL="114300" distR="114300" simplePos="0" relativeHeight="251659264" behindDoc="0" locked="0" layoutInCell="1" allowOverlap="1">
              <wp:simplePos x="0" y="0"/>
              <wp:positionH relativeFrom="column">
                <wp:posOffset>7045325</wp:posOffset>
              </wp:positionH>
              <wp:positionV relativeFrom="paragraph">
                <wp:posOffset>27940</wp:posOffset>
              </wp:positionV>
              <wp:extent cx="2184400" cy="256540"/>
              <wp:effectExtent l="0" t="0" r="6350" b="10160"/>
              <wp:wrapNone/>
              <wp:docPr id="2" name="文本框 1025"/>
              <wp:cNvGraphicFramePr/>
              <a:graphic xmlns:a="http://schemas.openxmlformats.org/drawingml/2006/main">
                <a:graphicData uri="http://schemas.microsoft.com/office/word/2010/wordprocessingShape">
                  <wps:wsp>
                    <wps:cNvSpPr txBox="1"/>
                    <wps:spPr>
                      <a:xfrm>
                        <a:off x="0" y="0"/>
                        <a:ext cx="2184400" cy="256540"/>
                      </a:xfrm>
                      <a:prstGeom prst="rect">
                        <a:avLst/>
                      </a:prstGeom>
                      <a:solidFill>
                        <a:srgbClr val="FFFFFF"/>
                      </a:solidFill>
                      <a:ln>
                        <a:noFill/>
                      </a:ln>
                    </wps:spPr>
                    <wps:txbx>
                      <w:txbxContent>
                        <w:p>
                          <w:pPr>
                            <w:ind w:firstLine="1440" w:firstLineChars="800"/>
                            <w:rPr>
                              <w:rFonts w:hint="eastAsia" w:eastAsia="宋体"/>
                              <w:lang w:eastAsia="zh-CN"/>
                            </w:rPr>
                          </w:pPr>
                          <w:r>
                            <w:rPr>
                              <w:rFonts w:hint="eastAsia"/>
                              <w:sz w:val="18"/>
                              <w:szCs w:val="18"/>
                            </w:rPr>
                            <w:t>IISC-B-II-12(05版</w:t>
                          </w:r>
                          <w:r>
                            <w:rPr>
                              <w:rFonts w:hint="eastAsia"/>
                              <w:sz w:val="18"/>
                              <w:szCs w:val="18"/>
                              <w:lang w:eastAsia="zh-CN"/>
                            </w:rPr>
                            <w:t>）</w:t>
                          </w:r>
                        </w:p>
                      </w:txbxContent>
                    </wps:txbx>
                    <wps:bodyPr upright="1"/>
                  </wps:wsp>
                </a:graphicData>
              </a:graphic>
            </wp:anchor>
          </w:drawing>
        </mc:Choice>
        <mc:Fallback>
          <w:pict>
            <v:shape id="文本框 1025" o:spid="_x0000_s1026" o:spt="202" type="#_x0000_t202" style="position:absolute;left:0pt;margin-left:554.75pt;margin-top:2.2pt;height:20.2pt;width:172pt;z-index:251659264;mso-width-relative:page;mso-height-relative:page;" fillcolor="#FFFFFF" filled="t" stroked="f" coordsize="21600,21600"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IQaq5dYAAAAKAQAADwAAAAAAAAABACAAAAAiAAAAZHJzL2Rvd25yZXYu&#10;eG1sUEsBAhQAFAAAAAgAh07iQO6djL7EAQAAegMAAA4AAAAAAAAAAQAgAAAAJQEAAGRycy9lMm9E&#10;b2MueG1sUEsFBgAAAAAGAAYAWQEAAFsFAAAAAA==&#10;">
              <v:fill on="t" focussize="0,0"/>
              <v:stroke on="f"/>
              <v:imagedata o:title=""/>
              <o:lock v:ext="edit" aspectratio="f"/>
              <v:textbox>
                <w:txbxContent>
                  <w:p>
                    <w:pPr>
                      <w:ind w:firstLine="1440" w:firstLineChars="800"/>
                      <w:rPr>
                        <w:rFonts w:hint="eastAsia" w:eastAsia="宋体"/>
                        <w:lang w:eastAsia="zh-CN"/>
                      </w:rPr>
                    </w:pPr>
                    <w:r>
                      <w:rPr>
                        <w:rFonts w:hint="eastAsia"/>
                        <w:sz w:val="18"/>
                        <w:szCs w:val="18"/>
                      </w:rPr>
                      <w:t>IISC-B-II-12(05版</w:t>
                    </w:r>
                    <w:r>
                      <w:rPr>
                        <w:rFonts w:hint="eastAsia"/>
                        <w:sz w:val="18"/>
                        <w:szCs w:val="18"/>
                        <w:lang w:eastAsia="zh-CN"/>
                      </w:rPr>
                      <w:t>）</w:t>
                    </w:r>
                  </w:p>
                </w:txbxContent>
              </v:textbox>
            </v:shape>
          </w:pict>
        </mc:Fallback>
      </mc:AlternateContent>
    </w:r>
    <w:r>
      <w:rPr>
        <w:rStyle w:val="12"/>
        <w:rFonts w:hint="default"/>
        <w:w w:val="90"/>
      </w:rPr>
      <w:t>Beijing International Standard united Certification Co.,Ltd.</w:t>
    </w:r>
  </w:p>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2F0A"/>
    <w:rsid w:val="00010EE9"/>
    <w:rsid w:val="00037336"/>
    <w:rsid w:val="000D2315"/>
    <w:rsid w:val="00196BAA"/>
    <w:rsid w:val="002901AE"/>
    <w:rsid w:val="00536296"/>
    <w:rsid w:val="00891FB2"/>
    <w:rsid w:val="00971096"/>
    <w:rsid w:val="00BE7971"/>
    <w:rsid w:val="00C118B3"/>
    <w:rsid w:val="00DE2F0A"/>
    <w:rsid w:val="00F573D5"/>
    <w:rsid w:val="0E8E0085"/>
    <w:rsid w:val="0F671A29"/>
    <w:rsid w:val="123F1B81"/>
    <w:rsid w:val="139E0EBC"/>
    <w:rsid w:val="19FA47DE"/>
    <w:rsid w:val="202B1244"/>
    <w:rsid w:val="2FC6304E"/>
    <w:rsid w:val="3763201B"/>
    <w:rsid w:val="417E5054"/>
    <w:rsid w:val="4641607A"/>
    <w:rsid w:val="50D5045E"/>
    <w:rsid w:val="558163B2"/>
    <w:rsid w:val="65AA1FC6"/>
    <w:rsid w:val="6BF47F6B"/>
    <w:rsid w:val="71007C82"/>
    <w:rsid w:val="7359544C"/>
    <w:rsid w:val="7BB54AF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宋体"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8">
    <w:name w:val="Default Paragraph Font"/>
    <w:semiHidden/>
    <w:unhideWhenUsed/>
    <w:qFormat/>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ody Text"/>
    <w:basedOn w:val="1"/>
    <w:unhideWhenUsed/>
    <w:qFormat/>
    <w:uiPriority w:val="99"/>
    <w:pPr>
      <w:spacing w:after="120"/>
      <w:ind w:firstLine="720" w:firstLineChars="200"/>
    </w:pPr>
  </w:style>
  <w:style w:type="paragraph" w:styleId="4">
    <w:name w:val="Balloon Text"/>
    <w:basedOn w:val="1"/>
    <w:link w:val="11"/>
    <w:semiHidden/>
    <w:unhideWhenUsed/>
    <w:qFormat/>
    <w:uiPriority w:val="99"/>
    <w:rPr>
      <w:sz w:val="18"/>
      <w:szCs w:val="18"/>
    </w:rPr>
  </w:style>
  <w:style w:type="paragraph" w:styleId="5">
    <w:name w:val="footer"/>
    <w:basedOn w:val="1"/>
    <w:link w:val="10"/>
    <w:unhideWhenUsed/>
    <w:qFormat/>
    <w:uiPriority w:val="99"/>
    <w:pPr>
      <w:tabs>
        <w:tab w:val="center" w:pos="4153"/>
        <w:tab w:val="right" w:pos="8306"/>
      </w:tabs>
      <w:snapToGrid w:val="0"/>
      <w:jc w:val="left"/>
    </w:pPr>
    <w:rPr>
      <w:sz w:val="18"/>
      <w:szCs w:val="18"/>
    </w:rPr>
  </w:style>
  <w:style w:type="paragraph" w:styleId="6">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9">
    <w:name w:val="页眉 字符"/>
    <w:basedOn w:val="8"/>
    <w:link w:val="6"/>
    <w:qFormat/>
    <w:uiPriority w:val="99"/>
    <w:rPr>
      <w:rFonts w:ascii="Times New Roman" w:hAnsi="Times New Roman" w:eastAsia="宋体" w:cs="Times New Roman"/>
      <w:sz w:val="18"/>
      <w:szCs w:val="18"/>
    </w:rPr>
  </w:style>
  <w:style w:type="character" w:customStyle="1" w:styleId="10">
    <w:name w:val="页脚 字符"/>
    <w:basedOn w:val="8"/>
    <w:link w:val="5"/>
    <w:qFormat/>
    <w:uiPriority w:val="99"/>
    <w:rPr>
      <w:rFonts w:ascii="Times New Roman" w:hAnsi="Times New Roman" w:eastAsia="宋体" w:cs="Times New Roman"/>
      <w:sz w:val="18"/>
      <w:szCs w:val="18"/>
    </w:rPr>
  </w:style>
  <w:style w:type="character" w:customStyle="1" w:styleId="11">
    <w:name w:val="批注框文本 字符"/>
    <w:basedOn w:val="8"/>
    <w:link w:val="4"/>
    <w:semiHidden/>
    <w:qFormat/>
    <w:uiPriority w:val="99"/>
    <w:rPr>
      <w:rFonts w:ascii="Times New Roman" w:hAnsi="Times New Roman" w:eastAsia="宋体" w:cs="Times New Roman"/>
      <w:sz w:val="18"/>
      <w:szCs w:val="18"/>
    </w:rPr>
  </w:style>
  <w:style w:type="character" w:customStyle="1" w:styleId="12">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209</Words>
  <Characters>1197</Characters>
  <Lines>9</Lines>
  <Paragraphs>2</Paragraphs>
  <TotalTime>2</TotalTime>
  <ScaleCrop>false</ScaleCrop>
  <LinksUpToDate>false</LinksUpToDate>
  <CharactersWithSpaces>1404</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2021-12-25T03:43:00Z</dcterms:created>
  <dc:creator>微软用户</dc:creator>
  <cp:lastModifiedBy>春华秋实</cp:lastModifiedBy>
  <dcterms:modified xsi:type="dcterms:W3CDTF">2022-01-05T03:22:15Z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BEB7495767084F70A40257B5E9871482</vt:lpwstr>
  </property>
</Properties>
</file>