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r>
              <w:rPr>
                <w:rFonts w:hint="eastAsia"/>
              </w:rPr>
              <w:t>过程与活动、</w:t>
            </w:r>
          </w:p>
          <w:p>
            <w:r>
              <w:rPr>
                <w:rFonts w:hint="eastAsia"/>
              </w:rPr>
              <w:t>抽样计划</w:t>
            </w:r>
          </w:p>
        </w:tc>
        <w:tc>
          <w:tcPr>
            <w:tcW w:w="960" w:type="dxa"/>
            <w:vMerge w:val="restart"/>
            <w:vAlign w:val="center"/>
          </w:tcPr>
          <w:p>
            <w:r>
              <w:rPr>
                <w:rFonts w:hint="eastAsia"/>
              </w:rPr>
              <w:t>涉及</w:t>
            </w:r>
          </w:p>
          <w:p>
            <w:r>
              <w:rPr>
                <w:rFonts w:hint="eastAsia"/>
              </w:rPr>
              <w:t>条款</w:t>
            </w:r>
          </w:p>
        </w:tc>
        <w:tc>
          <w:tcPr>
            <w:tcW w:w="10866" w:type="dxa"/>
            <w:vAlign w:val="center"/>
          </w:tcPr>
          <w:p>
            <w:r>
              <w:rPr>
                <w:rFonts w:hint="eastAsia"/>
              </w:rPr>
              <w:t xml:space="preserve">受审核部门：综合部   主管领导：张俊伟 </w:t>
            </w:r>
            <w:r>
              <w:t xml:space="preserve"> </w:t>
            </w:r>
            <w:r>
              <w:rPr>
                <w:rFonts w:hint="eastAsia"/>
                <w:lang w:val="en-US" w:eastAsia="zh-CN"/>
              </w:rPr>
              <w:t xml:space="preserve">   </w:t>
            </w:r>
            <w:r>
              <w:rPr>
                <w:rFonts w:hint="eastAsia"/>
              </w:rPr>
              <w:t xml:space="preserve">陪同人员：贾瑞琴 </w:t>
            </w:r>
          </w:p>
        </w:tc>
        <w:tc>
          <w:tcPr>
            <w:tcW w:w="723"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866" w:type="dxa"/>
            <w:vAlign w:val="center"/>
          </w:tcPr>
          <w:p>
            <w:r>
              <w:rPr>
                <w:rFonts w:hint="eastAsia"/>
              </w:rPr>
              <w:t xml:space="preserve">审核员：温红玲 </w:t>
            </w:r>
            <w:r>
              <w:t xml:space="preserve">         </w:t>
            </w:r>
            <w:r>
              <w:rPr>
                <w:rFonts w:hint="eastAsia"/>
              </w:rPr>
              <w:t>技术专家：陈俊</w:t>
            </w:r>
            <w:r>
              <w:rPr>
                <w:rFonts w:hint="eastAsia"/>
                <w:lang w:eastAsia="zh-CN"/>
              </w:rPr>
              <w:t>（</w:t>
            </w:r>
            <w:r>
              <w:rPr>
                <w:rFonts w:hint="eastAsia"/>
                <w:lang w:val="en-US" w:eastAsia="zh-CN"/>
              </w:rPr>
              <w:t>提供技术支持）</w:t>
            </w:r>
            <w:r>
              <w:rPr>
                <w:rFonts w:hint="eastAsia"/>
              </w:rPr>
              <w:t xml:space="preserve"> </w:t>
            </w:r>
            <w:r>
              <w:t xml:space="preserve">      </w:t>
            </w:r>
            <w:r>
              <w:rPr>
                <w:rFonts w:hint="eastAsia"/>
              </w:rPr>
              <w:t xml:space="preserve">  审核时间：20</w:t>
            </w:r>
            <w:r>
              <w:t>21</w:t>
            </w:r>
            <w:r>
              <w:rPr>
                <w:rFonts w:hint="eastAsia"/>
              </w:rPr>
              <w:t>年</w:t>
            </w:r>
            <w:r>
              <w:t>12</w:t>
            </w:r>
            <w:r>
              <w:rPr>
                <w:rFonts w:hint="eastAsia"/>
              </w:rPr>
              <w:t>月</w:t>
            </w:r>
            <w:r>
              <w:t>24</w:t>
            </w:r>
            <w:r>
              <w:rPr>
                <w:rFonts w:hint="eastAsia"/>
              </w:rPr>
              <w:t>日</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866" w:type="dxa"/>
            <w:vAlign w:val="center"/>
          </w:tcPr>
          <w:p>
            <w:r>
              <w:rPr>
                <w:rFonts w:hint="eastAsia"/>
              </w:rPr>
              <w:t>审核条款：O：5.3组织的角色、职责和权限；6.1.3法律法规要求和其他要求；6.1.2危险源辨识和职业安全风险评价； 6.2目标及其实现的策划；7.2能力；7.3意识；7.4信息和沟通；7.5文件化信息；8.1运行策划和控制；8.2应急准备和响应；9.1.1监视、测量、分析和评价总则； 9.1.2法律法规要求和其他要求的合规性评价；9.2内部审核；10.2纠正措施；</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rPr>
              <w:t>组织的岗位、职责权限</w:t>
            </w:r>
          </w:p>
        </w:tc>
        <w:tc>
          <w:tcPr>
            <w:tcW w:w="960" w:type="dxa"/>
            <w:vAlign w:val="center"/>
          </w:tcPr>
          <w:p>
            <w:r>
              <w:rPr>
                <w:rFonts w:hint="eastAsia"/>
              </w:rPr>
              <w:t>O5.3</w:t>
            </w:r>
          </w:p>
          <w:p/>
        </w:tc>
        <w:tc>
          <w:tcPr>
            <w:tcW w:w="10866" w:type="dxa"/>
            <w:vAlign w:val="center"/>
          </w:tcPr>
          <w:p>
            <w:r>
              <w:rPr>
                <w:rFonts w:hint="eastAsia"/>
              </w:rPr>
              <w:t>综合部主要作用、职责和权限包括:</w:t>
            </w:r>
          </w:p>
          <w:p>
            <w:r>
              <w:rPr>
                <w:rFonts w:hint="eastAsia"/>
              </w:rPr>
              <w:t>a)负责日常行政及相关辅助性事务处理</w:t>
            </w:r>
          </w:p>
          <w:p>
            <w:r>
              <w:rPr>
                <w:rFonts w:hint="eastAsia"/>
              </w:rPr>
              <w:t>b)负责人力资源招聘及相关入职离职社保手续办理</w:t>
            </w:r>
          </w:p>
          <w:p>
            <w:r>
              <w:rPr>
                <w:rFonts w:hint="eastAsia"/>
              </w:rPr>
              <w:t>c)建立库存账目，保持各种原始凭证。</w:t>
            </w:r>
          </w:p>
          <w:p>
            <w:r>
              <w:rPr>
                <w:rFonts w:hint="eastAsia"/>
              </w:rPr>
              <w:t>d）负责公司内部各部门之间的信息交流与沟通及对外联络.</w:t>
            </w:r>
          </w:p>
          <w:p>
            <w:r>
              <w:rPr>
                <w:rFonts w:hint="eastAsia"/>
              </w:rPr>
              <w:t>e)负责人员进现场时岗前培训</w:t>
            </w:r>
          </w:p>
          <w:p>
            <w:r>
              <w:rPr>
                <w:rFonts w:hint="eastAsia"/>
              </w:rPr>
              <w:t>f）负责公司体系文件的修订编制更新及传递和回收</w:t>
            </w:r>
          </w:p>
          <w:p>
            <w:r>
              <w:rPr>
                <w:rFonts w:hint="eastAsia"/>
              </w:rPr>
              <w:t>g)负责公司相关法律法规文件更新及各项规章制度运行检查</w:t>
            </w:r>
          </w:p>
          <w:p>
            <w:r>
              <w:rPr>
                <w:rFonts w:hint="eastAsia"/>
              </w:rPr>
              <w:t>h )负责公司内审和管理评审的组织及汇报</w:t>
            </w:r>
          </w:p>
          <w:p>
            <w:r>
              <w:rPr>
                <w:rFonts w:hint="eastAsia"/>
              </w:rPr>
              <w:t>i) 负责策划公司的质量目标及其实现的方案</w:t>
            </w:r>
          </w:p>
          <w:p>
            <w:r>
              <w:rPr>
                <w:rFonts w:hint="eastAsia"/>
              </w:rPr>
              <w:t>j）负责公司应急预案处理及突发事件处理</w:t>
            </w:r>
          </w:p>
          <w:p>
            <w:r>
              <w:rPr>
                <w:rFonts w:hint="eastAsia"/>
              </w:rPr>
              <w:t>综合部上述作用和职责、权限基本得到有效沟通和实施。</w:t>
            </w:r>
          </w:p>
        </w:tc>
        <w:tc>
          <w:tcPr>
            <w:tcW w:w="72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rPr>
              <w:t>环境因素、危险源的识别评价</w:t>
            </w:r>
          </w:p>
        </w:tc>
        <w:tc>
          <w:tcPr>
            <w:tcW w:w="960" w:type="dxa"/>
            <w:vAlign w:val="center"/>
          </w:tcPr>
          <w:p>
            <w:r>
              <w:rPr>
                <w:rFonts w:hint="eastAsia"/>
              </w:rPr>
              <w:t>O：6.1.2</w:t>
            </w:r>
          </w:p>
        </w:tc>
        <w:tc>
          <w:tcPr>
            <w:tcW w:w="10866" w:type="dxa"/>
            <w:vAlign w:val="center"/>
          </w:tcPr>
          <w:p>
            <w:r>
              <w:rPr>
                <w:rFonts w:hint="eastAsia"/>
              </w:rPr>
              <w:t>提供了《危险源辨识别和控制程序》（文件编号 SYAH-CX-4），对环境因素、危险源的识别、评价结果、控制手段等做出了规定。</w:t>
            </w:r>
          </w:p>
          <w:p>
            <w:r>
              <w:rPr>
                <w:rFonts w:hint="eastAsia"/>
              </w:rPr>
              <w:t>对危险源进行了辨识，考虑了三种时态，过去、现在和将来，三种状态，正常、异常和紧急，按照办公区域及工作过程，另外按照区域及工作过程等进行了辨识。</w:t>
            </w:r>
          </w:p>
          <w:p>
            <w:r>
              <w:rPr>
                <w:rFonts w:hint="eastAsia"/>
              </w:rPr>
              <w:t>提供《职业健康危险源和风险评价表》，识别了办公过程中使用电脑产生触电等危险源。</w:t>
            </w:r>
          </w:p>
          <w:p>
            <w:r>
              <w:rPr>
                <w:rFonts w:hint="eastAsia"/>
              </w:rPr>
              <w:t xml:space="preserve">查到：《不可接受风险清单》，公司涉及重大危险源 </w:t>
            </w:r>
            <w:r>
              <w:t>2</w:t>
            </w:r>
            <w:r>
              <w:rPr>
                <w:rFonts w:hint="eastAsia"/>
              </w:rPr>
              <w:t xml:space="preserve"> 项：触电、潜在火灾。综合部两项均涉及。</w:t>
            </w:r>
          </w:p>
          <w:p>
            <w:r>
              <w:rPr>
                <w:rFonts w:hint="eastAsia"/>
              </w:rPr>
              <w:t>综合部危险源的识别、评价基本符合标准要求。策划通过运行控制、管理方案、培训教育、应急预案等对危险源实施控制，基本适宜。</w:t>
            </w:r>
          </w:p>
        </w:tc>
        <w:tc>
          <w:tcPr>
            <w:tcW w:w="72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r>
              <w:rPr>
                <w:rFonts w:hint="eastAsia"/>
              </w:rPr>
              <w:t>法律法规、合规义务</w:t>
            </w:r>
          </w:p>
        </w:tc>
        <w:tc>
          <w:tcPr>
            <w:tcW w:w="960" w:type="dxa"/>
          </w:tcPr>
          <w:p/>
          <w:p>
            <w:r>
              <w:rPr>
                <w:rFonts w:hint="eastAsia"/>
              </w:rPr>
              <w:t>O</w:t>
            </w:r>
            <w:r>
              <w:t>6.1.3</w:t>
            </w:r>
          </w:p>
        </w:tc>
        <w:tc>
          <w:tcPr>
            <w:tcW w:w="10866" w:type="dxa"/>
            <w:vAlign w:val="center"/>
          </w:tcPr>
          <w:p>
            <w:r>
              <w:rPr>
                <w:rFonts w:hint="eastAsia"/>
              </w:rPr>
              <w:t>综合部提供了《法律法规和其他要求清单》，清单中包括《中华人民共和国安全生产法》、《中华人民共和国劳动法》、《中华人民共和国消防法》、《中华人民共和国职业病防治法》、《中华人民共和国传染病防治法》、《中华人民共和国劳动合同法》、《中华人民共和国妇女权益保障法》、《中华人民共和国未成年人保护法》等</w:t>
            </w:r>
            <w:r>
              <w:t>27</w:t>
            </w:r>
            <w:r>
              <w:rPr>
                <w:rFonts w:hint="eastAsia"/>
              </w:rPr>
              <w:t>条法律法规，法律法规适用。</w:t>
            </w:r>
          </w:p>
          <w:p>
            <w:r>
              <w:rPr>
                <w:rFonts w:hint="eastAsia"/>
              </w:rPr>
              <w:t>企业于2021年8月29日进行了合规评价，提供了《2021年度合规性评价计划》及《合规性综合评价报告》，符合要求。</w:t>
            </w:r>
          </w:p>
        </w:tc>
        <w:tc>
          <w:tcPr>
            <w:tcW w:w="72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rPr>
              <w:t>目标、方案</w:t>
            </w:r>
          </w:p>
        </w:tc>
        <w:tc>
          <w:tcPr>
            <w:tcW w:w="960" w:type="dxa"/>
            <w:vAlign w:val="center"/>
          </w:tcPr>
          <w:p>
            <w:r>
              <w:rPr>
                <w:rFonts w:hint="eastAsia"/>
              </w:rPr>
              <w:t>O：6.2</w:t>
            </w:r>
          </w:p>
        </w:tc>
        <w:tc>
          <w:tcPr>
            <w:tcW w:w="10866" w:type="dxa"/>
            <w:vAlign w:val="center"/>
          </w:tcPr>
          <w:p>
            <w:r>
              <w:rPr>
                <w:rFonts w:hint="eastAsia"/>
              </w:rPr>
              <w:t>综合部执行公司总的职业健康目标：</w:t>
            </w:r>
          </w:p>
          <w:p>
            <w:r>
              <w:rPr>
                <w:rFonts w:hint="eastAsia"/>
              </w:rPr>
              <w:drawing>
                <wp:inline distT="0" distB="0" distL="0" distR="0">
                  <wp:extent cx="4237990" cy="1203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rcRect t="52466"/>
                          <a:stretch>
                            <a:fillRect/>
                          </a:stretch>
                        </pic:blipFill>
                        <pic:spPr>
                          <a:xfrm>
                            <a:off x="0" y="0"/>
                            <a:ext cx="4289773" cy="1218401"/>
                          </a:xfrm>
                          <a:prstGeom prst="rect">
                            <a:avLst/>
                          </a:prstGeom>
                          <a:ln>
                            <a:noFill/>
                          </a:ln>
                        </pic:spPr>
                      </pic:pic>
                    </a:graphicData>
                  </a:graphic>
                </wp:inline>
              </w:drawing>
            </w:r>
          </w:p>
          <w:p>
            <w:r>
              <w:rPr>
                <w:rFonts w:hint="eastAsia"/>
              </w:rPr>
              <w:t>提供《 2021年过程绩效达成情况汇总表》,于2020年1</w:t>
            </w:r>
            <w:r>
              <w:t>1</w:t>
            </w:r>
            <w:r>
              <w:rPr>
                <w:rFonts w:hint="eastAsia"/>
              </w:rPr>
              <w:t>月3</w:t>
            </w:r>
            <w:r>
              <w:t>0</w:t>
            </w:r>
            <w:r>
              <w:rPr>
                <w:rFonts w:hint="eastAsia"/>
              </w:rPr>
              <w:t>日考核，全部完成,考核人张俊伟。</w:t>
            </w:r>
          </w:p>
          <w:p>
            <w:r>
              <w:rPr>
                <w:rFonts w:hint="eastAsia"/>
              </w:rPr>
              <w:t>抽环境/职业健康安全管理方案，明确了措施、责任人、时间、资金投入要求。具体见生产部6</w:t>
            </w:r>
            <w:r>
              <w:t>.2</w:t>
            </w:r>
            <w:r>
              <w:rPr>
                <w:rFonts w:hint="eastAsia"/>
              </w:rPr>
              <w:t>条款审核记录。</w:t>
            </w:r>
          </w:p>
        </w:tc>
        <w:tc>
          <w:tcPr>
            <w:tcW w:w="72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人员、能力、培训</w:t>
            </w:r>
          </w:p>
        </w:tc>
        <w:tc>
          <w:tcPr>
            <w:tcW w:w="960" w:type="dxa"/>
            <w:vAlign w:val="center"/>
          </w:tcPr>
          <w:p>
            <w:r>
              <w:rPr>
                <w:rFonts w:hint="eastAsia"/>
              </w:rPr>
              <w:t>O7.2</w:t>
            </w:r>
          </w:p>
          <w:p/>
        </w:tc>
        <w:tc>
          <w:tcPr>
            <w:tcW w:w="10866" w:type="dxa"/>
            <w:vAlign w:val="center"/>
          </w:tcPr>
          <w:p>
            <w:r>
              <w:rPr>
                <w:rFonts w:hint="eastAsia"/>
              </w:rPr>
              <w:t>编制《人力资源管理程序》（文件编号SYAH-CX-8），规定了控制要求。对企业的人力资源的培养和发展等作出规定，招聘、培训、试用与转正等人力资源作出了规划。</w:t>
            </w:r>
          </w:p>
          <w:p>
            <w:r>
              <w:rPr>
                <w:rFonts w:hint="eastAsia"/>
              </w:rPr>
              <w:t>企业提供了《岗位资格任职要求》，对各岗位的任职条件做了规定。</w:t>
            </w:r>
          </w:p>
          <w:p/>
          <w:p>
            <w:r>
              <w:rPr>
                <w:rFonts w:hint="eastAsia"/>
              </w:rPr>
              <w:t>根据企业发展规划、现状及各部门意见，综合部制定年度培训计划，提供《</w:t>
            </w:r>
            <w:r>
              <w:t>2021</w:t>
            </w:r>
            <w:r>
              <w:rPr>
                <w:rFonts w:hint="eastAsia"/>
              </w:rPr>
              <w:t>年培训计划》，抽查了部分《员工培训记录》。</w:t>
            </w:r>
          </w:p>
          <w:p>
            <w:r>
              <w:drawing>
                <wp:inline distT="0" distB="0" distL="0" distR="0">
                  <wp:extent cx="1570990" cy="2000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rcRect t="7489"/>
                          <a:stretch>
                            <a:fillRect/>
                          </a:stretch>
                        </pic:blipFill>
                        <pic:spPr>
                          <a:xfrm>
                            <a:off x="0" y="0"/>
                            <a:ext cx="1577532" cy="2008530"/>
                          </a:xfrm>
                          <a:prstGeom prst="rect">
                            <a:avLst/>
                          </a:prstGeom>
                          <a:ln>
                            <a:noFill/>
                          </a:ln>
                        </pic:spPr>
                      </pic:pic>
                    </a:graphicData>
                  </a:graphic>
                </wp:inline>
              </w:drawing>
            </w:r>
            <w:r>
              <w:rPr>
                <w:rFonts w:hint="eastAsia"/>
              </w:rPr>
              <w:t xml:space="preserve"> </w:t>
            </w:r>
            <w:r>
              <w:drawing>
                <wp:inline distT="0" distB="0" distL="0" distR="0">
                  <wp:extent cx="1833880" cy="21431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053" cy="2152253"/>
                          </a:xfrm>
                          <a:prstGeom prst="rect">
                            <a:avLst/>
                          </a:prstGeom>
                        </pic:spPr>
                      </pic:pic>
                    </a:graphicData>
                  </a:graphic>
                </wp:inline>
              </w:drawing>
            </w:r>
            <w:r>
              <w:drawing>
                <wp:inline distT="0" distB="0" distL="0" distR="0">
                  <wp:extent cx="1501775" cy="18275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327" cy="1835077"/>
                          </a:xfrm>
                          <a:prstGeom prst="rect">
                            <a:avLst/>
                          </a:prstGeom>
                        </pic:spPr>
                      </pic:pic>
                    </a:graphicData>
                  </a:graphic>
                </wp:inline>
              </w:drawing>
            </w:r>
            <w:r>
              <w:drawing>
                <wp:inline distT="0" distB="0" distL="0" distR="0">
                  <wp:extent cx="1571625" cy="19094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7199" cy="1916639"/>
                          </a:xfrm>
                          <a:prstGeom prst="rect">
                            <a:avLst/>
                          </a:prstGeom>
                        </pic:spPr>
                      </pic:pic>
                    </a:graphicData>
                  </a:graphic>
                </wp:inline>
              </w:drawing>
            </w:r>
          </w:p>
          <w:p>
            <w:pPr>
              <w:bidi w:val="0"/>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120015</wp:posOffset>
                  </wp:positionH>
                  <wp:positionV relativeFrom="paragraph">
                    <wp:posOffset>176530</wp:posOffset>
                  </wp:positionV>
                  <wp:extent cx="1329055" cy="1772920"/>
                  <wp:effectExtent l="0" t="0" r="4445" b="5080"/>
                  <wp:wrapNone/>
                  <wp:docPr id="7" name="图片 7" descr="1bfa6df2f1581d4f9228b119e647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bfa6df2f1581d4f9228b119e6473a4"/>
                          <pic:cNvPicPr>
                            <a:picLocks noChangeAspect="1"/>
                          </pic:cNvPicPr>
                        </pic:nvPicPr>
                        <pic:blipFill>
                          <a:blip r:embed="rId11"/>
                          <a:stretch>
                            <a:fillRect/>
                          </a:stretch>
                        </pic:blipFill>
                        <pic:spPr>
                          <a:xfrm>
                            <a:off x="0" y="0"/>
                            <a:ext cx="1329055" cy="1772920"/>
                          </a:xfrm>
                          <a:prstGeom prst="rect">
                            <a:avLst/>
                          </a:prstGeom>
                        </pic:spPr>
                      </pic:pic>
                    </a:graphicData>
                  </a:graphic>
                </wp:anchor>
              </w:drawing>
            </w:r>
            <w:r>
              <w:rPr>
                <w:rFonts w:hint="eastAsia"/>
              </w:rPr>
              <w:t xml:space="preserve"> </w:t>
            </w:r>
            <w:r>
              <w:t xml:space="preserve">  </w:t>
            </w:r>
            <w:r>
              <w:rPr>
                <w:rFonts w:hint="eastAsia"/>
                <w:lang w:val="en-US" w:eastAsia="zh-CN"/>
              </w:rPr>
              <w:t>抽查人员资质，提供电工证</w:t>
            </w:r>
          </w:p>
          <w:p>
            <w:pPr>
              <w:bidi w:val="0"/>
              <w:rPr>
                <w:rFonts w:hint="eastAsia"/>
                <w:lang w:val="en-US" w:eastAsia="zh-CN"/>
              </w:rPr>
            </w:pPr>
          </w:p>
          <w:p>
            <w:pPr>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rPr>
                <w:rFonts w:hint="eastAsia"/>
                <w:lang w:val="en-US" w:eastAsia="zh-CN"/>
              </w:rPr>
            </w:pPr>
          </w:p>
          <w:p>
            <w:pPr>
              <w:pStyle w:val="10"/>
              <w:bidi w:val="0"/>
              <w:ind w:left="0" w:leftChars="0" w:firstLine="0" w:firstLineChars="0"/>
              <w:rPr>
                <w:rFonts w:hint="eastAsia" w:ascii="Times New Roman" w:hAnsi="Times New Roman" w:eastAsia="宋体" w:cs="Times New Roman"/>
                <w:kern w:val="2"/>
                <w:sz w:val="21"/>
                <w:szCs w:val="20"/>
                <w:lang w:val="en-US" w:eastAsia="zh-CN" w:bidi="ar-SA"/>
              </w:rPr>
            </w:pPr>
          </w:p>
          <w:p>
            <w:pPr>
              <w:pStyle w:val="10"/>
              <w:bidi w:val="0"/>
              <w:ind w:left="0" w:leftChars="0" w:firstLine="0" w:firstLineChars="0"/>
            </w:pPr>
            <w:r>
              <w:rPr>
                <w:rFonts w:hint="eastAsia" w:ascii="Times New Roman" w:hAnsi="Times New Roman" w:eastAsia="宋体" w:cs="Times New Roman"/>
                <w:kern w:val="2"/>
                <w:sz w:val="21"/>
                <w:szCs w:val="20"/>
                <w:lang w:val="en-US" w:eastAsia="zh-CN" w:bidi="ar-SA"/>
              </w:rPr>
              <w:t>人员能力培训控制基本符合要求。</w:t>
            </w:r>
          </w:p>
        </w:tc>
        <w:tc>
          <w:tcPr>
            <w:tcW w:w="723"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rPr>
              <w:t>意识</w:t>
            </w:r>
          </w:p>
        </w:tc>
        <w:tc>
          <w:tcPr>
            <w:tcW w:w="960" w:type="dxa"/>
            <w:vAlign w:val="center"/>
          </w:tcPr>
          <w:p>
            <w:r>
              <w:rPr>
                <w:rFonts w:hint="eastAsia"/>
              </w:rPr>
              <w:t>O7.3</w:t>
            </w:r>
          </w:p>
          <w:p/>
        </w:tc>
        <w:tc>
          <w:tcPr>
            <w:tcW w:w="10866" w:type="dxa"/>
            <w:vAlign w:val="center"/>
          </w:tcPr>
          <w:p>
            <w:r>
              <w:rPr>
                <w:rFonts w:hint="eastAsia"/>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r>
              <w:rPr>
                <w:rFonts w:hint="eastAsia"/>
              </w:rPr>
              <w:t>询问综合部人员，清楚与其相关的重要环境因素与职业健康安全风险。</w:t>
            </w:r>
          </w:p>
        </w:tc>
        <w:tc>
          <w:tcPr>
            <w:tcW w:w="723"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文件化信息</w:t>
            </w:r>
          </w:p>
        </w:tc>
        <w:tc>
          <w:tcPr>
            <w:tcW w:w="960" w:type="dxa"/>
            <w:vAlign w:val="center"/>
          </w:tcPr>
          <w:p>
            <w:r>
              <w:rPr>
                <w:rFonts w:hint="eastAsia"/>
              </w:rPr>
              <w:t>O7.5</w:t>
            </w:r>
          </w:p>
          <w:p/>
        </w:tc>
        <w:tc>
          <w:tcPr>
            <w:tcW w:w="10866" w:type="dxa"/>
            <w:vAlign w:val="center"/>
          </w:tcPr>
          <w:p>
            <w:r>
              <w:rPr>
                <w:rFonts w:hint="eastAsia"/>
              </w:rPr>
              <w:t>受审核方建立的管理体系文件包括：</w:t>
            </w:r>
          </w:p>
          <w:p>
            <w:r>
              <w:rPr>
                <w:rFonts w:hint="eastAsia"/>
              </w:rPr>
              <w:t>《环境和职业健康安全管理体系管理手册》，SYAH-ES-2020，A版，发布时间：20</w:t>
            </w:r>
            <w:r>
              <w:t>20</w:t>
            </w:r>
            <w:r>
              <w:rPr>
                <w:rFonts w:hint="eastAsia"/>
              </w:rPr>
              <w:t>年</w:t>
            </w:r>
            <w:r>
              <w:t>07</w:t>
            </w:r>
            <w:r>
              <w:rPr>
                <w:rFonts w:hint="eastAsia"/>
              </w:rPr>
              <w:t>月</w:t>
            </w:r>
            <w:r>
              <w:t>30</w:t>
            </w:r>
            <w:r>
              <w:rPr>
                <w:rFonts w:hint="eastAsia"/>
              </w:rPr>
              <w:t>日实施时间：20</w:t>
            </w:r>
            <w:r>
              <w:t>20</w:t>
            </w:r>
            <w:r>
              <w:rPr>
                <w:rFonts w:hint="eastAsia"/>
              </w:rPr>
              <w:t>年</w:t>
            </w:r>
            <w:r>
              <w:t>07</w:t>
            </w:r>
            <w:r>
              <w:rPr>
                <w:rFonts w:hint="eastAsia"/>
              </w:rPr>
              <w:t>月</w:t>
            </w:r>
            <w:r>
              <w:t>3</w:t>
            </w:r>
            <w:r>
              <w:rPr>
                <w:rFonts w:hint="eastAsia"/>
              </w:rPr>
              <w:t>0日</w:t>
            </w:r>
          </w:p>
          <w:p>
            <w:r>
              <w:rPr>
                <w:rFonts w:hint="eastAsia"/>
              </w:rPr>
              <w:t>2.《环境和职业健康安全管理体系程序文件》，程序文件，</w:t>
            </w:r>
            <w:r>
              <w:t>01</w:t>
            </w:r>
            <w:r>
              <w:rPr>
                <w:rFonts w:hint="eastAsia"/>
              </w:rPr>
              <w:t>版，含</w:t>
            </w:r>
            <w:r>
              <w:t>19</w:t>
            </w:r>
            <w:r>
              <w:rPr>
                <w:rFonts w:hint="eastAsia"/>
              </w:rPr>
              <w:t>个文件，包括标准要求的形成文件的信息。</w:t>
            </w:r>
          </w:p>
          <w:p>
            <w:r>
              <w:rPr>
                <w:rFonts w:hint="eastAsia"/>
              </w:rPr>
              <w:t>3.体系运行所需要的文件和记录</w:t>
            </w:r>
          </w:p>
          <w:p>
            <w:r>
              <w:rPr>
                <w:rFonts w:hint="eastAsia"/>
              </w:rPr>
              <w:t>编制了《文件控制程序》《记录控制程序》用于对管理体系文件，符合标准要求。</w:t>
            </w:r>
          </w:p>
          <w:p>
            <w:r>
              <w:rPr>
                <w:rFonts w:hint="eastAsia"/>
              </w:rPr>
              <w:t>查综合部管理手册、管理制度等文件均保管良好，为有效版本，有受控标识。</w:t>
            </w:r>
          </w:p>
          <w:p>
            <w:r>
              <w:rPr>
                <w:rFonts w:hint="eastAsia"/>
              </w:rPr>
              <w:t>综合部负责收集有关产品的国家标准、行业标准的最新版本，分发到相关部门使用；收回旧标准。</w:t>
            </w:r>
          </w:p>
          <w:p>
            <w:r>
              <w:rPr>
                <w:rFonts w:hint="eastAsia"/>
              </w:rPr>
              <w:t>查见《适用的法律法规及其他要求清单》，内容包括：序号、文件名称、编号、版本等，收集基本全面，基本符合。</w:t>
            </w:r>
          </w:p>
          <w:p>
            <w:r>
              <w:rPr>
                <w:rFonts w:hint="eastAsia"/>
              </w:rPr>
              <w:t>以上外来文件保管良好，均为有效版本。</w:t>
            </w:r>
          </w:p>
          <w:p>
            <w:r>
              <w:rPr>
                <w:rFonts w:hint="eastAsia"/>
              </w:rPr>
              <w:t>查见《记录清单》，内容包括：序号、记录名称、编号、保存期、使用部门等。</w:t>
            </w:r>
          </w:p>
          <w:p>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
              <w:rPr>
                <w:rFonts w:hint="eastAsia"/>
              </w:rPr>
              <w:t>保存期限分别为三年和长期。</w:t>
            </w:r>
          </w:p>
          <w:p>
            <w:pPr>
              <w:rPr>
                <w:rFonts w:hint="eastAsia" w:eastAsia="宋体"/>
                <w:lang w:eastAsia="zh-CN"/>
              </w:rPr>
            </w:pPr>
            <w:r>
              <w:rPr>
                <w:rFonts w:hint="eastAsia"/>
              </w:rPr>
              <w:t>抽查综合部办文件发放登记表、培训记录表、受控文件清单，填写及保管符合要求。</w:t>
            </w:r>
          </w:p>
          <w:p>
            <w:r>
              <w:rPr>
                <w:rFonts w:hint="eastAsia"/>
              </w:rPr>
              <w:t>各部门保存各记录，按时间整理，放置在文件柜中，以便检索，综合部定期对其进行检查，目前保存完好。名称，编号构成记录的唯一性标识。</w:t>
            </w:r>
          </w:p>
          <w:p>
            <w:r>
              <w:rPr>
                <w:rFonts w:hint="eastAsia"/>
              </w:rPr>
              <w:t>介绍：尚未有销毁记录，若有由综合部组织进行。</w:t>
            </w:r>
          </w:p>
        </w:tc>
        <w:tc>
          <w:tcPr>
            <w:tcW w:w="723"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60" w:type="dxa"/>
            <w:vAlign w:val="center"/>
          </w:tcPr>
          <w:p>
            <w:r>
              <w:rPr>
                <w:rFonts w:hint="eastAsia"/>
              </w:rPr>
              <w:t>运行的策划控制</w:t>
            </w:r>
          </w:p>
        </w:tc>
        <w:tc>
          <w:tcPr>
            <w:tcW w:w="960" w:type="dxa"/>
            <w:vAlign w:val="center"/>
          </w:tcPr>
          <w:p>
            <w:r>
              <w:rPr>
                <w:rFonts w:hint="eastAsia"/>
              </w:rPr>
              <w:t>O：8.1</w:t>
            </w:r>
          </w:p>
        </w:tc>
        <w:tc>
          <w:tcPr>
            <w:tcW w:w="10866" w:type="dxa"/>
            <w:vAlign w:val="center"/>
          </w:tcPr>
          <w:p>
            <w:r>
              <w:rPr>
                <w:rFonts w:hint="eastAsia"/>
              </w:rPr>
              <w:t>公司编制与环境、安全体系运行控制有关的文件有《</w:t>
            </w:r>
            <w:r>
              <w:t>环境和职业健康安全运行程序</w:t>
            </w:r>
            <w:r>
              <w:rPr>
                <w:rFonts w:hint="eastAsia"/>
              </w:rPr>
              <w:t>》、《废弃物控制程序》、</w:t>
            </w:r>
          </w:p>
          <w:p>
            <w:r>
              <w:rPr>
                <w:rFonts w:hint="eastAsia"/>
              </w:rPr>
              <w:t>《节能降耗控制程序》、《应急准备和响应控制程序》、《信息交流控制程序》、《对相关方施加影响控制程序》、《合规性评价控制程序》、《业绩监测和测量控制程序》、《事故、事件和不符合》、《不符合、纠正措施与预防措施控制程序》等。</w:t>
            </w:r>
          </w:p>
          <w:p>
            <w:r>
              <w:rPr>
                <w:rFonts w:hint="eastAsia"/>
              </w:rPr>
              <w:t>综合部工作场所为办公室，使用电脑办公过程，无废水、废气、粉尘、噪声产生。</w:t>
            </w:r>
          </w:p>
          <w:p>
            <w:pPr>
              <w:ind w:firstLine="44" w:firstLineChars="21"/>
              <w:jc w:val="left"/>
            </w:pPr>
            <w:r>
              <w:rPr>
                <w:rFonts w:hint="eastAsia"/>
              </w:rPr>
              <w:t>公司为员工缴纳了工伤保险和医疗保险，提供了缴纳保险的证据。</w:t>
            </w:r>
          </w:p>
          <w:p>
            <w:pPr>
              <w:ind w:firstLine="44" w:firstLineChars="21"/>
              <w:jc w:val="left"/>
            </w:pPr>
            <w:r>
              <w:rPr>
                <w:rFonts w:hint="eastAsia"/>
              </w:rPr>
              <w:t>查看办公区域配备有灭火器，办公室设备、电器状态良好，无安全隐患。</w:t>
            </w:r>
          </w:p>
          <w:p>
            <w:pPr>
              <w:ind w:firstLine="44" w:firstLineChars="21"/>
              <w:rPr>
                <w:rFonts w:hint="eastAsia"/>
              </w:rPr>
            </w:pPr>
            <w:r>
              <w:rPr>
                <w:rFonts w:hint="eastAsia"/>
              </w:rPr>
              <w:t>部门每天对自己的办公室环境卫生安全进行检查，发现问题立即整改。公司每季度对各部门工作环境安全情况进行检查，提供了2021年</w:t>
            </w:r>
            <w:r>
              <w:t>8</w:t>
            </w:r>
            <w:r>
              <w:rPr>
                <w:rFonts w:hint="eastAsia"/>
              </w:rPr>
              <w:t>月和1</w:t>
            </w:r>
            <w:r>
              <w:t>1</w:t>
            </w:r>
            <w:r>
              <w:rPr>
                <w:rFonts w:hint="eastAsia"/>
              </w:rPr>
              <w:t>月的《管理体系运行监督检查记录表》，检查项目包括了 E</w:t>
            </w:r>
            <w:r>
              <w:t>S</w:t>
            </w:r>
            <w:r>
              <w:rPr>
                <w:rFonts w:hint="eastAsia"/>
              </w:rPr>
              <w:t>体系文件落实情况、防火及防护措施实施情况、员工工作防护措施执行情况等，检查结果未见异常。</w:t>
            </w:r>
          </w:p>
          <w:p>
            <w:pPr>
              <w:rPr>
                <w:rFonts w:hint="eastAsia"/>
              </w:rPr>
            </w:pPr>
            <w:r>
              <w:rPr>
                <w:rFonts w:hint="eastAsia"/>
              </w:rPr>
              <w:t>查见有《医疗保险费申报核定单》及2021年1至9月的《安恒公司2021年9月缴纳社保、医保明细分类表》。</w:t>
            </w:r>
          </w:p>
          <w:p>
            <w:r>
              <w:rPr>
                <w:rFonts w:hint="eastAsia"/>
                <w:lang w:val="en-US" w:eastAsia="zh-CN"/>
              </w:rPr>
              <w:t>查提供《环保安全资金投入计划及投入情况统计》、完税证明。</w:t>
            </w:r>
            <w:bookmarkStart w:id="0" w:name="_GoBack"/>
            <w:bookmarkEnd w:id="0"/>
          </w:p>
        </w:tc>
        <w:tc>
          <w:tcPr>
            <w:tcW w:w="723"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r>
              <w:rPr>
                <w:rFonts w:hint="eastAsia"/>
              </w:rPr>
              <w:t>应急准备和响应</w:t>
            </w:r>
          </w:p>
        </w:tc>
        <w:tc>
          <w:tcPr>
            <w:tcW w:w="960" w:type="dxa"/>
            <w:vAlign w:val="center"/>
          </w:tcPr>
          <w:p>
            <w:r>
              <w:rPr>
                <w:rFonts w:hint="eastAsia"/>
              </w:rPr>
              <w:t xml:space="preserve">O：8.2  </w:t>
            </w:r>
          </w:p>
        </w:tc>
        <w:tc>
          <w:tcPr>
            <w:tcW w:w="10866" w:type="dxa"/>
            <w:vAlign w:val="center"/>
          </w:tcPr>
          <w:p>
            <w:r>
              <w:rPr>
                <w:rFonts w:hint="eastAsia"/>
              </w:rPr>
              <w:t>公司编制了《应急准备和响应控制程序》（文件编号 SYAH-CX-1</w:t>
            </w:r>
            <w:r>
              <w:t>3</w:t>
            </w:r>
            <w:r>
              <w:rPr>
                <w:rFonts w:hint="eastAsia"/>
              </w:rPr>
              <w:t>），建立了火灾、触电、机械伤害等应急预案，由综合组织演练，综合部参加了演练。</w:t>
            </w:r>
          </w:p>
          <w:p>
            <w:r>
              <w:rPr>
                <w:rFonts w:hint="eastAsia"/>
              </w:rPr>
              <w:t>提供了《危险源应急救援预案》和应急演习记录。</w:t>
            </w:r>
          </w:p>
          <w:p>
            <w:r>
              <w:rPr>
                <w:rFonts w:hint="eastAsia"/>
              </w:rPr>
              <w:drawing>
                <wp:inline distT="0" distB="0" distL="0" distR="0">
                  <wp:extent cx="1664335" cy="24231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64730" cy="2423160"/>
                          </a:xfrm>
                          <a:prstGeom prst="rect">
                            <a:avLst/>
                          </a:prstGeom>
                        </pic:spPr>
                      </pic:pic>
                    </a:graphicData>
                  </a:graphic>
                </wp:inline>
              </w:drawing>
            </w:r>
            <w:r>
              <w:rPr>
                <w:rFonts w:hint="eastAsia"/>
              </w:rPr>
              <w:t xml:space="preserve"> </w:t>
            </w:r>
            <w:r>
              <w:rPr>
                <w:rFonts w:hint="eastAsia"/>
              </w:rPr>
              <w:drawing>
                <wp:inline distT="0" distB="0" distL="0" distR="0">
                  <wp:extent cx="2010410" cy="24403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13437" cy="2443791"/>
                          </a:xfrm>
                          <a:prstGeom prst="rect">
                            <a:avLst/>
                          </a:prstGeom>
                        </pic:spPr>
                      </pic:pic>
                    </a:graphicData>
                  </a:graphic>
                </wp:inline>
              </w:drawing>
            </w:r>
            <w:r>
              <w:t xml:space="preserve"> </w:t>
            </w:r>
          </w:p>
          <w:p>
            <w:r>
              <w:rPr>
                <w:rFonts w:hint="eastAsia"/>
              </w:rPr>
              <w:t>自体系运行以来尚未发生紧急情况。</w:t>
            </w:r>
          </w:p>
        </w:tc>
        <w:tc>
          <w:tcPr>
            <w:tcW w:w="723"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60" w:type="dxa"/>
            <w:vAlign w:val="center"/>
          </w:tcPr>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绩效测量和监视</w:t>
            </w:r>
          </w:p>
        </w:tc>
        <w:tc>
          <w:tcPr>
            <w:tcW w:w="960"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O</w:t>
            </w:r>
            <w:r>
              <w:rPr>
                <w:rFonts w:hint="eastAsia"/>
                <w:color w:val="000000" w:themeColor="text1"/>
                <w:sz w:val="21"/>
                <w:szCs w:val="21"/>
                <w14:textFill>
                  <w14:solidFill>
                    <w14:schemeClr w14:val="tx1"/>
                  </w14:solidFill>
                </w14:textFill>
              </w:rPr>
              <w:t>9.1.1</w:t>
            </w:r>
          </w:p>
          <w:p>
            <w:pP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0866"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公司制定</w:t>
            </w:r>
            <w:r>
              <w:rPr>
                <w:rFonts w:hint="eastAsia"/>
                <w:color w:val="000000" w:themeColor="text1"/>
                <w:sz w:val="21"/>
                <w:szCs w:val="21"/>
                <w:lang w:eastAsia="zh-CN"/>
                <w14:textFill>
                  <w14:solidFill>
                    <w14:schemeClr w14:val="tx1"/>
                  </w14:solidFill>
                </w14:textFill>
              </w:rPr>
              <w:t>了</w:t>
            </w:r>
            <w:r>
              <w:rPr>
                <w:rFonts w:hint="eastAsia"/>
                <w:color w:val="000000" w:themeColor="text1"/>
                <w:sz w:val="21"/>
                <w:szCs w:val="21"/>
                <w14:textFill>
                  <w14:solidFill>
                    <w14:schemeClr w14:val="tx1"/>
                  </w14:solidFill>
                </w14:textFill>
              </w:rPr>
              <w:t>《内部审核控制程序》 、《管理评审控制程序》为保证公司管理体系的有效运行，通过对管理绩效的监视与测量，确保体系运行的有效性。</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查</w:t>
            </w:r>
            <w:r>
              <w:rPr>
                <w:rFonts w:hint="eastAsia"/>
                <w:color w:val="000000" w:themeColor="text1"/>
                <w:sz w:val="21"/>
                <w:szCs w:val="21"/>
                <w:lang w:val="en-US" w:eastAsia="zh-CN"/>
                <w14:textFill>
                  <w14:solidFill>
                    <w14:schemeClr w14:val="tx1"/>
                  </w14:solidFill>
                </w14:textFill>
              </w:rPr>
              <w:t>提供员工体检报告，查阅体检报告，均无职业禁忌症。</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-22225</wp:posOffset>
                  </wp:positionH>
                  <wp:positionV relativeFrom="paragraph">
                    <wp:posOffset>58420</wp:posOffset>
                  </wp:positionV>
                  <wp:extent cx="1759585" cy="1367155"/>
                  <wp:effectExtent l="0" t="0" r="5715" b="4445"/>
                  <wp:wrapNone/>
                  <wp:docPr id="19" name="图片 19" descr="3bfd82860f797c3c7eb23cac0cfb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bfd82860f797c3c7eb23cac0cfb736"/>
                          <pic:cNvPicPr>
                            <a:picLocks noChangeAspect="1"/>
                          </pic:cNvPicPr>
                        </pic:nvPicPr>
                        <pic:blipFill>
                          <a:blip r:embed="rId14"/>
                          <a:srcRect t="9929" b="54823"/>
                          <a:stretch>
                            <a:fillRect/>
                          </a:stretch>
                        </pic:blipFill>
                        <pic:spPr>
                          <a:xfrm>
                            <a:off x="0" y="0"/>
                            <a:ext cx="1759585" cy="1367155"/>
                          </a:xfrm>
                          <a:prstGeom prst="rect">
                            <a:avLst/>
                          </a:prstGeom>
                        </pic:spPr>
                      </pic:pic>
                    </a:graphicData>
                  </a:graphic>
                </wp:anchor>
              </w:drawing>
            </w: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查见2021年8月28日合规性综合评价报告，对环境及职业安全健康的合规性进行了评价。</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目前未发现公司出现违规现象。无被动性绩效的监视和测量。</w:t>
            </w:r>
          </w:p>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公司不需要对环境影响的运行的关键特性和职业健康安全绩效进行监测和测量的设备。</w:t>
            </w:r>
          </w:p>
        </w:tc>
        <w:tc>
          <w:tcPr>
            <w:tcW w:w="723" w:type="dxa"/>
            <w:vAlign w:val="top"/>
          </w:tcPr>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内部审核</w:t>
            </w:r>
          </w:p>
        </w:tc>
        <w:tc>
          <w:tcPr>
            <w:tcW w:w="960" w:type="dxa"/>
            <w:vAlign w:val="center"/>
          </w:tcPr>
          <w:p>
            <w:r>
              <w:rPr>
                <w:rFonts w:hint="eastAsia"/>
              </w:rPr>
              <w:t>O9.2</w:t>
            </w:r>
          </w:p>
          <w:p/>
        </w:tc>
        <w:tc>
          <w:tcPr>
            <w:tcW w:w="10866" w:type="dxa"/>
            <w:vAlign w:val="center"/>
          </w:tcPr>
          <w:p>
            <w:r>
              <w:rPr>
                <w:rFonts w:hint="eastAsia"/>
              </w:rPr>
              <w:t>公司制定《内部审核控制程序》（文件编号SYAH-CX-14），对内部审核的人员职责和工作程序做出了规定。</w:t>
            </w:r>
          </w:p>
          <w:p>
            <w:r>
              <w:rPr>
                <w:rFonts w:hint="eastAsia"/>
              </w:rPr>
              <w:t>1.频次：内审每年至少进行一次，两次内部审核的时间间隔不超过12个月。</w:t>
            </w:r>
          </w:p>
          <w:p>
            <w:r>
              <w:rPr>
                <w:rFonts w:hint="eastAsia"/>
              </w:rPr>
              <w:t>2.方法：集中式按部门审核。</w:t>
            </w:r>
          </w:p>
          <w:p>
            <w:r>
              <w:rPr>
                <w:rFonts w:hint="eastAsia"/>
              </w:rPr>
              <w:t>3.职责：体系负责人组织内部审核活动。</w:t>
            </w:r>
          </w:p>
          <w:p>
            <w:r>
              <w:rPr>
                <w:rFonts w:hint="eastAsia"/>
              </w:rPr>
              <w:t>4.策划要求：范围、准则、工作分配等。</w:t>
            </w:r>
          </w:p>
          <w:p>
            <w:r>
              <w:rPr>
                <w:rFonts w:hint="eastAsia"/>
              </w:rPr>
              <w:t>5.报告：体系负责人在内部审核结束及纠正措施完成后应向总经理报告审核结果。</w:t>
            </w:r>
          </w:p>
          <w:p>
            <w:r>
              <w:rPr>
                <w:rFonts w:hint="eastAsia"/>
              </w:rPr>
              <w:t>6.提供了《20</w:t>
            </w:r>
            <w:r>
              <w:t>21</w:t>
            </w:r>
            <w:r>
              <w:rPr>
                <w:rFonts w:hint="eastAsia"/>
              </w:rPr>
              <w:t>年内部审核实施计划》，计划内容有：目的、范围、审核准则，审核时间20</w:t>
            </w:r>
            <w:r>
              <w:t>21</w:t>
            </w:r>
            <w:r>
              <w:rPr>
                <w:rFonts w:hint="eastAsia"/>
              </w:rPr>
              <w:t>年</w:t>
            </w:r>
            <w:r>
              <w:t>10</w:t>
            </w:r>
            <w:r>
              <w:rPr>
                <w:rFonts w:hint="eastAsia"/>
              </w:rPr>
              <w:t>月</w:t>
            </w:r>
            <w:r>
              <w:t>11</w:t>
            </w:r>
            <w:r>
              <w:rPr>
                <w:rFonts w:hint="eastAsia"/>
              </w:rPr>
              <w:t>日。</w:t>
            </w:r>
          </w:p>
          <w:p>
            <w:r>
              <w:rPr>
                <w:rFonts w:hint="eastAsia"/>
              </w:rPr>
              <w:t>查阅20</w:t>
            </w:r>
            <w:r>
              <w:t>21</w:t>
            </w:r>
            <w:r>
              <w:rPr>
                <w:rFonts w:hint="eastAsia"/>
              </w:rPr>
              <w:t>年度内部审核有关记录</w:t>
            </w:r>
          </w:p>
          <w:p>
            <w:r>
              <w:rPr>
                <w:rFonts w:hint="eastAsia"/>
              </w:rPr>
              <w:t>提供了审核组名单：组长：郭世勇     组员：史龙会</w:t>
            </w:r>
          </w:p>
          <w:p>
            <w:r>
              <w:rPr>
                <w:rFonts w:hint="eastAsia"/>
              </w:rPr>
              <w:t>审核时间：  20</w:t>
            </w:r>
            <w:r>
              <w:t>21</w:t>
            </w:r>
            <w:r>
              <w:rPr>
                <w:rFonts w:hint="eastAsia"/>
              </w:rPr>
              <w:t>年</w:t>
            </w:r>
            <w:r>
              <w:t>10</w:t>
            </w:r>
            <w:r>
              <w:rPr>
                <w:rFonts w:hint="eastAsia"/>
              </w:rPr>
              <w:t>月</w:t>
            </w:r>
            <w:r>
              <w:t>11</w:t>
            </w:r>
            <w:r>
              <w:rPr>
                <w:rFonts w:hint="eastAsia"/>
              </w:rPr>
              <w:t>日</w:t>
            </w:r>
          </w:p>
          <w:p>
            <w:r>
              <w:rPr>
                <w:rFonts w:hint="eastAsia"/>
              </w:rPr>
              <w:t>3.审核范围：管理手册覆盖的所有部门及过程；</w:t>
            </w:r>
          </w:p>
          <w:p>
            <w:r>
              <w:rPr>
                <w:rFonts w:hint="eastAsia"/>
              </w:rPr>
              <w:t>4.审核准则：ISO9001:2015《质量管理体系 要求》、ISO14001：2015《环境管理体系 要求及使用指南》、ISO45001：201</w:t>
            </w:r>
            <w:r>
              <w:t>8</w:t>
            </w:r>
            <w:r>
              <w:rPr>
                <w:rFonts w:hint="eastAsia"/>
              </w:rPr>
              <w:t>《职业健康安全管理体系 要求》、公司管理体系文件、适用的法律法规、产品标准等。</w:t>
            </w:r>
          </w:p>
          <w:p>
            <w:r>
              <w:rPr>
                <w:rFonts w:hint="eastAsia"/>
              </w:rPr>
              <w:t>5.提供了《内审首次会议签到表》，参加人有各部门负责人等。</w:t>
            </w:r>
          </w:p>
          <w:p>
            <w:r>
              <w:rPr>
                <w:rFonts w:hint="eastAsia"/>
              </w:rPr>
              <w:t>6.提供了《内审检查表》，经查阅对照，受审核部门涉及条款与公司管理体系职责分配相一致。</w:t>
            </w:r>
          </w:p>
          <w:p>
            <w:r>
              <w:rPr>
                <w:rFonts w:hint="eastAsia"/>
              </w:rPr>
              <w:t>审核计划安排合理，审核记录基本满足要求。</w:t>
            </w:r>
          </w:p>
          <w:p>
            <w:r>
              <w:rPr>
                <w:rFonts w:hint="eastAsia"/>
              </w:rPr>
              <w:t>提供了《内审不合格报告》1份，审核发现, 查设备台账中，未包含消防设施。不符合ISO45001:2018标准的7.1条款。</w:t>
            </w:r>
          </w:p>
          <w:p>
            <w:r>
              <w:rPr>
                <w:rFonts w:hint="eastAsia"/>
              </w:rPr>
              <w:t>7</w:t>
            </w:r>
            <w:r>
              <w:t>.</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rPr>
              <w:t>审核结论：公司的环境/安全管理体系运行基本是正常的。</w:t>
            </w:r>
          </w:p>
          <w:p>
            <w:r>
              <w:rPr>
                <w:rFonts w:hint="eastAsia"/>
              </w:rPr>
              <w:t>审核员没有审核自己部门工作，具有独立性。</w:t>
            </w:r>
          </w:p>
        </w:tc>
        <w:tc>
          <w:tcPr>
            <w:tcW w:w="723"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60" w:type="dxa"/>
            <w:vAlign w:val="center"/>
          </w:tcPr>
          <w:p>
            <w:r>
              <w:rPr>
                <w:rFonts w:hint="eastAsia"/>
              </w:rPr>
              <w:t>不符合和纠正措施</w:t>
            </w:r>
          </w:p>
          <w:p>
            <w:r>
              <w:rPr>
                <w:rFonts w:hint="eastAsia"/>
              </w:rPr>
              <w:t>事件调查、不符合、纠正措施和预防措施</w:t>
            </w:r>
          </w:p>
        </w:tc>
        <w:tc>
          <w:tcPr>
            <w:tcW w:w="960" w:type="dxa"/>
            <w:vAlign w:val="center"/>
          </w:tcPr>
          <w:p>
            <w:r>
              <w:rPr>
                <w:rFonts w:hint="eastAsia"/>
              </w:rPr>
              <w:t>O</w:t>
            </w:r>
            <w:r>
              <w:t>10.2</w:t>
            </w:r>
          </w:p>
          <w:p/>
        </w:tc>
        <w:tc>
          <w:tcPr>
            <w:tcW w:w="10866" w:type="dxa"/>
            <w:vAlign w:val="center"/>
          </w:tcPr>
          <w:p>
            <w:r>
              <w:rPr>
                <w:rFonts w:hint="eastAsia"/>
              </w:rPr>
              <w:t>企业通过过程的监视和测量、绩效考核、内审、管理评审等方式和机制，确保质量管理制度有效执行。</w:t>
            </w:r>
          </w:p>
          <w:p>
            <w:r>
              <w:rPr>
                <w:rFonts w:hint="eastAsia"/>
              </w:rPr>
              <w:t>企业经过策划，采用对产品的监视和测量，对不合格品控制等来证实产品的符合性。</w:t>
            </w:r>
          </w:p>
          <w:p>
            <w:r>
              <w:rPr>
                <w:rFonts w:hint="eastAsia"/>
              </w:rPr>
              <w:t>企业制定《不合格输出控制程序》、《事故、事件和不符合管理程序》等，通过分析实际存在的或潜在的不符合的原因，制定纠正和预防措施，并验证其效果，以防止不符合的发生／再发生，实现持续改进绩效的目的。</w:t>
            </w:r>
          </w:p>
          <w:p>
            <w:r>
              <w:rPr>
                <w:rFonts w:hint="eastAsia"/>
              </w:rPr>
              <w:t>对内审中的不符合，采取了纠正措施，并验证；</w:t>
            </w:r>
          </w:p>
          <w:p>
            <w:r>
              <w:rPr>
                <w:rFonts w:hint="eastAsia"/>
              </w:rPr>
              <w:t>为保证公司职业健康安全管理体系的有效运行，通过对安全事件的调查处理，以确保管理体系运行的有效性。</w:t>
            </w:r>
          </w:p>
          <w:p>
            <w:r>
              <w:rPr>
                <w:rFonts w:hint="eastAsia"/>
              </w:rPr>
              <w:t>经查在公司正常经营活动中，出现了轻微不符合，部门已经采取纠正和纠正措施，经验证纠正措施有效。</w:t>
            </w:r>
          </w:p>
          <w:p>
            <w:r>
              <w:rPr>
                <w:rFonts w:hint="eastAsia"/>
              </w:rPr>
              <w:t>公司办公和生产活动未发生过环境、安全等事故。</w:t>
            </w:r>
          </w:p>
          <w:p>
            <w:r>
              <w:rPr>
                <w:rFonts w:hint="eastAsia"/>
              </w:rPr>
              <w:t>查持续改进：</w:t>
            </w:r>
          </w:p>
          <w:p>
            <w:r>
              <w:rPr>
                <w:rFonts w:hint="eastAsia"/>
              </w:rPr>
              <w:t>a. 通过管理体系运行，管理方针、目标的实施，内审、管理评审进行持续改进；</w:t>
            </w:r>
          </w:p>
          <w:p>
            <w:r>
              <w:rPr>
                <w:rFonts w:hint="eastAsia"/>
              </w:rPr>
              <w:t>b. 通过数据分析、纠正、预防措施实施达到持续改进；</w:t>
            </w:r>
          </w:p>
          <w:p>
            <w:r>
              <w:rPr>
                <w:rFonts w:hint="eastAsia"/>
              </w:rPr>
              <w:t>c. 通过顾客满意度调查，改进、提高产品质量，满足顾客需求，达到持续改进的目的。</w:t>
            </w:r>
          </w:p>
          <w:p>
            <w:r>
              <w:rPr>
                <w:rFonts w:hint="eastAsia"/>
              </w:rPr>
              <w:t>管理评审提出改进措施</w:t>
            </w:r>
            <w:r>
              <w:rPr>
                <w:rFonts w:hint="eastAsia"/>
                <w:lang w:val="en-US" w:eastAsia="zh-CN"/>
              </w:rPr>
              <w:t>已实施，现场确认改进措施实施有效</w:t>
            </w:r>
            <w:r>
              <w:rPr>
                <w:rFonts w:hint="eastAsia"/>
              </w:rPr>
              <w:t>。</w:t>
            </w:r>
          </w:p>
        </w:tc>
        <w:tc>
          <w:tcPr>
            <w:tcW w:w="723" w:type="dxa"/>
          </w:tcPr>
          <w:p>
            <w:r>
              <w:t>Y</w:t>
            </w:r>
          </w:p>
        </w:tc>
      </w:tr>
    </w:tbl>
    <w:p>
      <w:r>
        <w:ptab w:relativeTo="margin" w:alignment="left" w:leader="none"/>
      </w:r>
    </w:p>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0"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3"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CWeEkfCAQAAeA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859FD"/>
    <w:rsid w:val="00090528"/>
    <w:rsid w:val="000A53EB"/>
    <w:rsid w:val="000B0723"/>
    <w:rsid w:val="000C774B"/>
    <w:rsid w:val="000D3791"/>
    <w:rsid w:val="000F341A"/>
    <w:rsid w:val="001578AA"/>
    <w:rsid w:val="00164B37"/>
    <w:rsid w:val="001651BD"/>
    <w:rsid w:val="00177A91"/>
    <w:rsid w:val="00181E98"/>
    <w:rsid w:val="00187822"/>
    <w:rsid w:val="00193307"/>
    <w:rsid w:val="001A2D7F"/>
    <w:rsid w:val="001C74D7"/>
    <w:rsid w:val="001E6B5E"/>
    <w:rsid w:val="001F0932"/>
    <w:rsid w:val="002003A0"/>
    <w:rsid w:val="002119A8"/>
    <w:rsid w:val="002426BC"/>
    <w:rsid w:val="002539A0"/>
    <w:rsid w:val="002554B0"/>
    <w:rsid w:val="0026170D"/>
    <w:rsid w:val="00283657"/>
    <w:rsid w:val="00292C83"/>
    <w:rsid w:val="002B311A"/>
    <w:rsid w:val="002C514A"/>
    <w:rsid w:val="002E1F88"/>
    <w:rsid w:val="003022CC"/>
    <w:rsid w:val="00337922"/>
    <w:rsid w:val="00340867"/>
    <w:rsid w:val="00350AE1"/>
    <w:rsid w:val="003518B5"/>
    <w:rsid w:val="00366399"/>
    <w:rsid w:val="00371C74"/>
    <w:rsid w:val="00375E04"/>
    <w:rsid w:val="00380837"/>
    <w:rsid w:val="00384E2C"/>
    <w:rsid w:val="003A198A"/>
    <w:rsid w:val="003B3E99"/>
    <w:rsid w:val="003B467C"/>
    <w:rsid w:val="003D3E93"/>
    <w:rsid w:val="003F5657"/>
    <w:rsid w:val="003F73E9"/>
    <w:rsid w:val="003F740E"/>
    <w:rsid w:val="00410914"/>
    <w:rsid w:val="00411629"/>
    <w:rsid w:val="00440658"/>
    <w:rsid w:val="00464DDE"/>
    <w:rsid w:val="004673CB"/>
    <w:rsid w:val="004674DB"/>
    <w:rsid w:val="00470352"/>
    <w:rsid w:val="00483828"/>
    <w:rsid w:val="00484369"/>
    <w:rsid w:val="004920B1"/>
    <w:rsid w:val="004B720C"/>
    <w:rsid w:val="004D12A0"/>
    <w:rsid w:val="004E2437"/>
    <w:rsid w:val="004E5837"/>
    <w:rsid w:val="00526127"/>
    <w:rsid w:val="00536930"/>
    <w:rsid w:val="00544551"/>
    <w:rsid w:val="005531F6"/>
    <w:rsid w:val="00564E53"/>
    <w:rsid w:val="005946BA"/>
    <w:rsid w:val="005C56FD"/>
    <w:rsid w:val="005C5DF7"/>
    <w:rsid w:val="005C6B35"/>
    <w:rsid w:val="005D203C"/>
    <w:rsid w:val="005D4E2C"/>
    <w:rsid w:val="005F0441"/>
    <w:rsid w:val="005F1D52"/>
    <w:rsid w:val="0060324D"/>
    <w:rsid w:val="00636B21"/>
    <w:rsid w:val="00644FE2"/>
    <w:rsid w:val="00645D00"/>
    <w:rsid w:val="00646FEC"/>
    <w:rsid w:val="006516C7"/>
    <w:rsid w:val="00662A0A"/>
    <w:rsid w:val="00674B11"/>
    <w:rsid w:val="0067640C"/>
    <w:rsid w:val="006836CF"/>
    <w:rsid w:val="006A702B"/>
    <w:rsid w:val="006E678B"/>
    <w:rsid w:val="006F2701"/>
    <w:rsid w:val="0072147E"/>
    <w:rsid w:val="0072416A"/>
    <w:rsid w:val="00746279"/>
    <w:rsid w:val="007575E1"/>
    <w:rsid w:val="007757F3"/>
    <w:rsid w:val="00786972"/>
    <w:rsid w:val="00792877"/>
    <w:rsid w:val="00796CD7"/>
    <w:rsid w:val="00797420"/>
    <w:rsid w:val="007A1DA8"/>
    <w:rsid w:val="007A5046"/>
    <w:rsid w:val="007A53EA"/>
    <w:rsid w:val="007D25D3"/>
    <w:rsid w:val="007E6AEB"/>
    <w:rsid w:val="007F14F1"/>
    <w:rsid w:val="008012C2"/>
    <w:rsid w:val="0080575B"/>
    <w:rsid w:val="0081284F"/>
    <w:rsid w:val="00815D2E"/>
    <w:rsid w:val="00823395"/>
    <w:rsid w:val="008252BD"/>
    <w:rsid w:val="00825954"/>
    <w:rsid w:val="00827F15"/>
    <w:rsid w:val="008433DF"/>
    <w:rsid w:val="00862507"/>
    <w:rsid w:val="008801FD"/>
    <w:rsid w:val="0089411D"/>
    <w:rsid w:val="008973EE"/>
    <w:rsid w:val="008C293C"/>
    <w:rsid w:val="008C3778"/>
    <w:rsid w:val="008E3FA5"/>
    <w:rsid w:val="008E633E"/>
    <w:rsid w:val="00961F4F"/>
    <w:rsid w:val="009647BC"/>
    <w:rsid w:val="00971600"/>
    <w:rsid w:val="00976228"/>
    <w:rsid w:val="00983C4C"/>
    <w:rsid w:val="009973B4"/>
    <w:rsid w:val="00997D7E"/>
    <w:rsid w:val="009A17DD"/>
    <w:rsid w:val="009C28C1"/>
    <w:rsid w:val="009E5A60"/>
    <w:rsid w:val="009F0149"/>
    <w:rsid w:val="009F2225"/>
    <w:rsid w:val="009F2F86"/>
    <w:rsid w:val="009F7DFC"/>
    <w:rsid w:val="009F7EED"/>
    <w:rsid w:val="00A00503"/>
    <w:rsid w:val="00A02F21"/>
    <w:rsid w:val="00A276A6"/>
    <w:rsid w:val="00A3294E"/>
    <w:rsid w:val="00A50632"/>
    <w:rsid w:val="00A51134"/>
    <w:rsid w:val="00A92057"/>
    <w:rsid w:val="00AC0499"/>
    <w:rsid w:val="00AE2F3A"/>
    <w:rsid w:val="00AF0AAB"/>
    <w:rsid w:val="00B1087D"/>
    <w:rsid w:val="00B13D98"/>
    <w:rsid w:val="00B160FB"/>
    <w:rsid w:val="00B16488"/>
    <w:rsid w:val="00B1795C"/>
    <w:rsid w:val="00B26981"/>
    <w:rsid w:val="00B32E56"/>
    <w:rsid w:val="00B475D1"/>
    <w:rsid w:val="00B50C92"/>
    <w:rsid w:val="00B5366A"/>
    <w:rsid w:val="00B6150E"/>
    <w:rsid w:val="00B66FE1"/>
    <w:rsid w:val="00B73A93"/>
    <w:rsid w:val="00B95A05"/>
    <w:rsid w:val="00BA480E"/>
    <w:rsid w:val="00BB0BC9"/>
    <w:rsid w:val="00BC6844"/>
    <w:rsid w:val="00BD0EF2"/>
    <w:rsid w:val="00BE29A2"/>
    <w:rsid w:val="00BF2EBB"/>
    <w:rsid w:val="00BF597E"/>
    <w:rsid w:val="00C102CB"/>
    <w:rsid w:val="00C15537"/>
    <w:rsid w:val="00C25D84"/>
    <w:rsid w:val="00C5177A"/>
    <w:rsid w:val="00C51A36"/>
    <w:rsid w:val="00C55228"/>
    <w:rsid w:val="00C76E98"/>
    <w:rsid w:val="00C80696"/>
    <w:rsid w:val="00CA1D28"/>
    <w:rsid w:val="00CA65AB"/>
    <w:rsid w:val="00CB1062"/>
    <w:rsid w:val="00CC17D6"/>
    <w:rsid w:val="00CD0F2B"/>
    <w:rsid w:val="00CD106F"/>
    <w:rsid w:val="00CD278B"/>
    <w:rsid w:val="00CE315A"/>
    <w:rsid w:val="00CE3A09"/>
    <w:rsid w:val="00CE6D06"/>
    <w:rsid w:val="00CF776D"/>
    <w:rsid w:val="00D06F59"/>
    <w:rsid w:val="00D11C38"/>
    <w:rsid w:val="00D50004"/>
    <w:rsid w:val="00D513CF"/>
    <w:rsid w:val="00D62FBC"/>
    <w:rsid w:val="00D77D72"/>
    <w:rsid w:val="00D81FB5"/>
    <w:rsid w:val="00D8388C"/>
    <w:rsid w:val="00DA2A63"/>
    <w:rsid w:val="00DA57D8"/>
    <w:rsid w:val="00DB30A0"/>
    <w:rsid w:val="00DB65E4"/>
    <w:rsid w:val="00DE2F18"/>
    <w:rsid w:val="00DF2EA5"/>
    <w:rsid w:val="00E04521"/>
    <w:rsid w:val="00E155CB"/>
    <w:rsid w:val="00E23A25"/>
    <w:rsid w:val="00E6360A"/>
    <w:rsid w:val="00E7307B"/>
    <w:rsid w:val="00E754A7"/>
    <w:rsid w:val="00E80AE3"/>
    <w:rsid w:val="00E80CCA"/>
    <w:rsid w:val="00E86639"/>
    <w:rsid w:val="00E93330"/>
    <w:rsid w:val="00E954C4"/>
    <w:rsid w:val="00EB0164"/>
    <w:rsid w:val="00ED0F62"/>
    <w:rsid w:val="00EE2828"/>
    <w:rsid w:val="00F1746E"/>
    <w:rsid w:val="00F305C2"/>
    <w:rsid w:val="00F3665D"/>
    <w:rsid w:val="00F617EA"/>
    <w:rsid w:val="00F71A76"/>
    <w:rsid w:val="00F77ECA"/>
    <w:rsid w:val="00F87C00"/>
    <w:rsid w:val="00F95653"/>
    <w:rsid w:val="00FA32A7"/>
    <w:rsid w:val="00FB3DD3"/>
    <w:rsid w:val="00FB77AA"/>
    <w:rsid w:val="00FC02C4"/>
    <w:rsid w:val="00FD2F92"/>
    <w:rsid w:val="00FD35C5"/>
    <w:rsid w:val="00FD6788"/>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D580B78"/>
    <w:rsid w:val="2F4B0E69"/>
    <w:rsid w:val="30D16CC5"/>
    <w:rsid w:val="31C028B0"/>
    <w:rsid w:val="37476F8A"/>
    <w:rsid w:val="38610411"/>
    <w:rsid w:val="38AA56C2"/>
    <w:rsid w:val="38E10519"/>
    <w:rsid w:val="39827C37"/>
    <w:rsid w:val="3C125F9B"/>
    <w:rsid w:val="3C1959EB"/>
    <w:rsid w:val="3D2F613A"/>
    <w:rsid w:val="3E1444F6"/>
    <w:rsid w:val="3F1A2EE3"/>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link w:val="26"/>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Body Text Indent 3"/>
    <w:basedOn w:val="1"/>
    <w:link w:val="25"/>
    <w:unhideWhenUsed/>
    <w:qFormat/>
    <w:uiPriority w:val="99"/>
    <w:pPr>
      <w:spacing w:after="120"/>
      <w:ind w:left="420" w:leftChars="200"/>
    </w:pPr>
    <w:rPr>
      <w:sz w:val="16"/>
      <w:szCs w:val="16"/>
    </w:rPr>
  </w:style>
  <w:style w:type="paragraph" w:styleId="11">
    <w:name w:val="Body Text First Indent 2"/>
    <w:basedOn w:val="6"/>
    <w:qFormat/>
    <w:uiPriority w:val="0"/>
    <w:pPr>
      <w:ind w:firstLine="420"/>
      <w:jc w:val="left"/>
    </w:pPr>
    <w:rPr>
      <w:rFonts w:eastAsia="仿宋_GB2312"/>
      <w:color w:val="000000"/>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2"/>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3"/>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3"/>
    <w:link w:val="10"/>
    <w:semiHidden/>
    <w:qFormat/>
    <w:uiPriority w:val="99"/>
    <w:rPr>
      <w:kern w:val="2"/>
      <w:sz w:val="16"/>
      <w:szCs w:val="16"/>
    </w:rPr>
  </w:style>
  <w:style w:type="character" w:customStyle="1" w:styleId="26">
    <w:name w:val="正文文本 字符"/>
    <w:basedOn w:val="13"/>
    <w:link w:val="5"/>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7</Pages>
  <Words>602</Words>
  <Characters>3434</Characters>
  <Lines>28</Lines>
  <Paragraphs>8</Paragraphs>
  <TotalTime>1</TotalTime>
  <ScaleCrop>false</ScaleCrop>
  <LinksUpToDate>false</LinksUpToDate>
  <CharactersWithSpaces>4028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2022-01-05T05:07:26Z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7AA2D362AA7F4656A5E2596D436B6322</vt:lpwstr>
  </property>
</Properties>
</file>