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0069-2021-EO-2021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重庆东电科技有限公司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重庆东电科技有限公司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重庆市渝北区人和雪松路2号6幢（原2幢）1-9-2</w:t>
            </w:r>
            <w:bookmarkEnd w:id="6"/>
          </w:p>
        </w:tc>
        <w:tc>
          <w:tcPr>
            <w:tcW w:w="1242" w:type="dxa"/>
            <w:vMerge w:val="restart"/>
            <w:vAlign w:val="center"/>
          </w:tcPr>
          <w:p>
            <w:r>
              <w:rPr>
                <w:rFonts w:hint="eastAsia"/>
              </w:rPr>
              <w:t>邮编</w:t>
            </w:r>
          </w:p>
        </w:tc>
        <w:tc>
          <w:tcPr>
            <w:tcW w:w="1771" w:type="dxa"/>
          </w:tcPr>
          <w:p>
            <w:bookmarkStart w:id="7" w:name="注册邮编"/>
            <w: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重庆市渝北区中智联工业园</w:t>
            </w:r>
            <w:bookmarkEnd w:id="8"/>
          </w:p>
        </w:tc>
        <w:tc>
          <w:tcPr>
            <w:tcW w:w="1242" w:type="dxa"/>
            <w:vMerge w:val="continue"/>
            <w:vAlign w:val="center"/>
          </w:tcPr>
          <w:p/>
        </w:tc>
        <w:tc>
          <w:tcPr>
            <w:tcW w:w="1771" w:type="dxa"/>
          </w:tcPr>
          <w:p>
            <w:bookmarkStart w:id="9" w:name="办公邮编"/>
            <w:r>
              <w:t>401121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陈佳</w:t>
            </w:r>
            <w:bookmarkEnd w:id="10"/>
          </w:p>
        </w:tc>
        <w:tc>
          <w:tcPr>
            <w:tcW w:w="1313" w:type="dxa"/>
            <w:vAlign w:val="center"/>
          </w:tcPr>
          <w:p>
            <w:r>
              <w:rPr>
                <w:rFonts w:hint="eastAsia"/>
              </w:rPr>
              <w:t>电话.</w:t>
            </w:r>
          </w:p>
        </w:tc>
        <w:tc>
          <w:tcPr>
            <w:tcW w:w="2180" w:type="dxa"/>
            <w:vAlign w:val="center"/>
          </w:tcPr>
          <w:p>
            <w:bookmarkStart w:id="11" w:name="联系人电话"/>
            <w:r>
              <w:t>023-67300226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李玉华</w:t>
            </w:r>
            <w:bookmarkEnd w:id="13"/>
          </w:p>
        </w:tc>
        <w:tc>
          <w:tcPr>
            <w:tcW w:w="1313" w:type="dxa"/>
            <w:vAlign w:val="center"/>
          </w:tcPr>
          <w:p>
            <w:r>
              <w:rPr>
                <w:rFonts w:hint="eastAsia"/>
              </w:rPr>
              <w:t>管理者代表</w:t>
            </w:r>
          </w:p>
        </w:tc>
        <w:tc>
          <w:tcPr>
            <w:tcW w:w="2180" w:type="dxa"/>
          </w:tcPr>
          <w:p>
            <w:bookmarkStart w:id="14" w:name="管理者代表"/>
            <w:r>
              <w:t>陈佳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ascii="宋体" w:hAnsi="宋体"/>
                <w:sz w:val="21"/>
                <w:szCs w:val="21"/>
              </w:rPr>
            </w:pPr>
            <w:r>
              <w:rPr>
                <w:rFonts w:hint="eastAsia" w:ascii="宋体" w:hAnsi="宋体"/>
                <w:sz w:val="21"/>
                <w:szCs w:val="21"/>
              </w:rPr>
              <w:t>软件的研发流程图：</w:t>
            </w:r>
          </w:p>
          <w:p>
            <w:pPr>
              <w:spacing w:line="240" w:lineRule="auto"/>
              <w:rPr>
                <w:rFonts w:ascii="宋体" w:hAnsi="宋体"/>
                <w:sz w:val="21"/>
                <w:szCs w:val="21"/>
              </w:rPr>
            </w:pPr>
            <w:r>
              <w:rPr>
                <w:rFonts w:hint="eastAsia" w:ascii="宋体" w:hAnsi="宋体"/>
                <w:sz w:val="21"/>
                <w:szCs w:val="21"/>
              </w:rPr>
              <w:t>洽谈项目——立项与策划——需求分析——设计开发——编码——测试——发布上线—验收。</w:t>
            </w:r>
          </w:p>
          <w:p>
            <w:pPr>
              <w:pStyle w:val="25"/>
              <w:spacing w:line="240" w:lineRule="auto"/>
              <w:rPr>
                <w:sz w:val="21"/>
                <w:szCs w:val="21"/>
              </w:rPr>
            </w:pPr>
          </w:p>
          <w:p>
            <w:pPr>
              <w:spacing w:line="240" w:lineRule="auto"/>
              <w:rPr>
                <w:rFonts w:ascii="宋体" w:hAnsi="宋体"/>
                <w:sz w:val="21"/>
                <w:szCs w:val="21"/>
              </w:rPr>
            </w:pPr>
            <w:r>
              <w:rPr>
                <w:rFonts w:hint="eastAsia" w:ascii="宋体" w:hAnsi="宋体"/>
                <w:sz w:val="21"/>
                <w:szCs w:val="21"/>
              </w:rPr>
              <w:t>仪表设备的研发流程图：</w:t>
            </w:r>
          </w:p>
          <w:p>
            <w:pPr>
              <w:spacing w:line="240" w:lineRule="auto"/>
              <w:rPr>
                <w:rFonts w:ascii="宋体" w:hAnsi="宋体"/>
                <w:sz w:val="21"/>
                <w:szCs w:val="21"/>
              </w:rPr>
            </w:pPr>
            <w:r>
              <w:rPr>
                <w:rFonts w:hint="eastAsia" w:ascii="宋体" w:hAnsi="宋体"/>
                <w:sz w:val="21"/>
                <w:szCs w:val="21"/>
              </w:rPr>
              <w:t>立项与策划——需求分析——设计开发——样品制作——验证——确认。</w:t>
            </w:r>
          </w:p>
          <w:p>
            <w:pPr>
              <w:spacing w:line="240" w:lineRule="auto"/>
              <w:rPr>
                <w:rFonts w:ascii="宋体" w:hAnsi="宋体"/>
                <w:sz w:val="21"/>
                <w:szCs w:val="21"/>
              </w:rPr>
            </w:pPr>
            <w:r>
              <w:rPr>
                <w:rFonts w:hint="eastAsia" w:ascii="宋体" w:hAnsi="宋体"/>
                <w:sz w:val="21"/>
                <w:szCs w:val="21"/>
              </w:rPr>
              <w:t>设计开发为关键过程。</w:t>
            </w:r>
          </w:p>
          <w:p>
            <w:pPr>
              <w:pStyle w:val="25"/>
              <w:spacing w:line="240" w:lineRule="auto"/>
              <w:rPr>
                <w:rFonts w:hint="default"/>
                <w:sz w:val="21"/>
                <w:szCs w:val="21"/>
              </w:rPr>
            </w:pPr>
          </w:p>
          <w:p>
            <w:pPr>
              <w:spacing w:line="240" w:lineRule="auto"/>
              <w:rPr>
                <w:sz w:val="21"/>
                <w:szCs w:val="21"/>
              </w:rPr>
            </w:pPr>
            <w:r>
              <w:rPr>
                <w:rFonts w:hint="eastAsia"/>
                <w:sz w:val="21"/>
                <w:szCs w:val="21"/>
              </w:rPr>
              <w:t>销售流程图:</w:t>
            </w:r>
          </w:p>
          <w:p>
            <w:pPr>
              <w:tabs>
                <w:tab w:val="left" w:pos="2385"/>
              </w:tabs>
              <w:spacing w:line="240" w:lineRule="auto"/>
              <w:rPr>
                <w:rFonts w:ascii="宋体" w:hAnsi="宋体"/>
                <w:bCs/>
                <w:sz w:val="21"/>
                <w:szCs w:val="21"/>
              </w:rPr>
            </w:pPr>
            <w:r>
              <w:rPr>
                <w:rFonts w:hint="eastAsia" w:ascii="宋体" w:hAnsi="宋体"/>
                <w:bCs/>
                <w:sz w:val="21"/>
                <w:szCs w:val="21"/>
              </w:rPr>
              <w:t>联系客户—业务洽谈—合同签订—采购产品—产品销售—客户签收—售后服务。</w:t>
            </w:r>
          </w:p>
          <w:p>
            <w:r>
              <w:rPr>
                <w:rFonts w:hint="eastAsia" w:ascii="宋体" w:hAnsi="宋体"/>
                <w:sz w:val="21"/>
                <w:szCs w:val="21"/>
              </w:rPr>
              <w:t>销售为关键过程，也为确认过程。</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2021年12月23日 上午至2021年12月23日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E：通信仪器仪表、通信电力安防监控设备、计算机应用软件的研发销售，通信电力配套耗材用品、劳保用品、五金产品的销售所涉及场所的相关环境管理活动</w:t>
            </w:r>
          </w:p>
          <w:p>
            <w:r>
              <w:t>O：通信仪器仪表、通信电力安防监控设备、计算机应用软件的研发销售。通信电力配套耗材用品、劳保用品、五金产品的销售所涉及场所的相关职业健康安全管理活动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E：19.05.01;29.12.00;33.02.01</w:t>
            </w:r>
          </w:p>
          <w:p>
            <w:r>
              <w:t>O：19.05.01;29.12.00;33.02.01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000000" w:themeColor="text1"/>
              </w:rPr>
            </w:pPr>
            <w:r>
              <w:rPr>
                <w:rFonts w:hint="eastAsia"/>
                <w:color w:val="000000" w:themeColor="text1"/>
              </w:rPr>
              <w:t>体系文件实施时间</w:t>
            </w:r>
          </w:p>
        </w:tc>
        <w:tc>
          <w:tcPr>
            <w:tcW w:w="2733" w:type="dxa"/>
          </w:tcPr>
          <w:p>
            <w:pPr>
              <w:rPr>
                <w:color w:val="000000" w:themeColor="text1"/>
              </w:rPr>
            </w:pPr>
            <w:r>
              <w:rPr>
                <w:rFonts w:hint="eastAsia"/>
                <w:color w:val="000000" w:themeColor="text1"/>
                <w:lang w:val="en-US" w:eastAsia="zh-CN"/>
              </w:rPr>
              <w:t>2020</w:t>
            </w:r>
            <w:r>
              <w:rPr>
                <w:rFonts w:hint="eastAsia"/>
                <w:color w:val="000000" w:themeColor="text1"/>
              </w:rPr>
              <w:t>年</w:t>
            </w:r>
            <w:r>
              <w:rPr>
                <w:rFonts w:hint="eastAsia"/>
                <w:color w:val="000000" w:themeColor="text1"/>
                <w:lang w:val="en-US" w:eastAsia="zh-CN"/>
              </w:rPr>
              <w:t>3</w:t>
            </w:r>
            <w:r>
              <w:rPr>
                <w:rFonts w:hint="eastAsia"/>
                <w:color w:val="000000" w:themeColor="text1"/>
              </w:rPr>
              <w:t>月</w:t>
            </w:r>
            <w:r>
              <w:rPr>
                <w:rFonts w:hint="eastAsia"/>
                <w:color w:val="000000" w:themeColor="text1"/>
                <w:lang w:val="en-US" w:eastAsia="zh-CN"/>
              </w:rPr>
              <w:t>1</w:t>
            </w:r>
            <w:r>
              <w:rPr>
                <w:rFonts w:hint="eastAsia"/>
                <w:color w:val="000000" w:themeColor="text1"/>
              </w:rPr>
              <w:t>日</w:t>
            </w:r>
          </w:p>
          <w:p>
            <w:pPr>
              <w:rPr>
                <w:color w:val="000000" w:themeColor="text1"/>
              </w:rPr>
            </w:pPr>
          </w:p>
        </w:tc>
        <w:tc>
          <w:tcPr>
            <w:tcW w:w="1883" w:type="dxa"/>
            <w:vAlign w:val="center"/>
          </w:tcPr>
          <w:p>
            <w:pPr>
              <w:rPr>
                <w:color w:val="000000" w:themeColor="text1"/>
              </w:rPr>
            </w:pPr>
            <w:r>
              <w:rPr>
                <w:rFonts w:hint="eastAsia"/>
                <w:color w:val="000000" w:themeColor="text1"/>
              </w:rPr>
              <w:t>管理体系运行已超过3个月</w:t>
            </w:r>
          </w:p>
        </w:tc>
        <w:tc>
          <w:tcPr>
            <w:tcW w:w="3215" w:type="dxa"/>
            <w:vAlign w:val="center"/>
          </w:tcPr>
          <w:p>
            <w:pPr>
              <w:rPr>
                <w:color w:val="000000" w:themeColor="text1"/>
              </w:rPr>
            </w:pPr>
            <w:r>
              <w:rPr>
                <w:rFonts w:hint="eastAsia" w:ascii="宋体" w:hAnsi="宋体" w:eastAsia="宋体" w:cs="宋体"/>
                <w:color w:val="000000" w:themeColor="text1"/>
              </w:rPr>
              <w:t>■</w:t>
            </w:r>
            <w:r>
              <w:rPr>
                <w:rFonts w:hint="eastAsia"/>
                <w:color w:val="000000" w:themeColor="text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000000" w:themeColor="text1"/>
              </w:rPr>
            </w:pPr>
            <w:r>
              <w:rPr>
                <w:rFonts w:hint="eastAsia"/>
                <w:color w:val="000000" w:themeColor="text1"/>
              </w:rPr>
              <w:t>上次审核时间</w:t>
            </w:r>
          </w:p>
        </w:tc>
        <w:tc>
          <w:tcPr>
            <w:tcW w:w="2733" w:type="dxa"/>
            <w:vAlign w:val="center"/>
          </w:tcPr>
          <w:p>
            <w:pPr>
              <w:rPr>
                <w:color w:val="000000" w:themeColor="text1"/>
              </w:rPr>
            </w:pPr>
            <w:r>
              <w:rPr>
                <w:rFonts w:hint="eastAsia"/>
                <w:color w:val="000000" w:themeColor="text1"/>
                <w:lang w:val="en-US" w:eastAsia="zh-CN"/>
              </w:rPr>
              <w:t>2021</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29</w:t>
            </w:r>
            <w:r>
              <w:rPr>
                <w:rFonts w:hint="eastAsia"/>
                <w:color w:val="000000" w:themeColor="text1"/>
              </w:rPr>
              <w:t>日</w:t>
            </w:r>
          </w:p>
        </w:tc>
        <w:tc>
          <w:tcPr>
            <w:tcW w:w="1883" w:type="dxa"/>
            <w:vAlign w:val="center"/>
          </w:tcPr>
          <w:p>
            <w:pPr>
              <w:rPr>
                <w:color w:val="000000" w:themeColor="text1"/>
                <w:highlight w:val="none"/>
              </w:rPr>
            </w:pPr>
            <w:r>
              <w:rPr>
                <w:rFonts w:hint="eastAsia"/>
                <w:color w:val="000000" w:themeColor="text1"/>
                <w:highlight w:val="none"/>
              </w:rPr>
              <w:t>认证证书有效期</w:t>
            </w:r>
          </w:p>
          <w:p>
            <w:pPr>
              <w:rPr>
                <w:color w:val="000000" w:themeColor="text1"/>
                <w:highlight w:val="none"/>
              </w:rPr>
            </w:pPr>
            <w:r>
              <w:rPr>
                <w:rFonts w:hint="eastAsia"/>
                <w:color w:val="000000" w:themeColor="text1"/>
                <w:highlight w:val="none"/>
              </w:rPr>
              <w:t>（初审除外）</w:t>
            </w:r>
          </w:p>
        </w:tc>
        <w:tc>
          <w:tcPr>
            <w:tcW w:w="3215" w:type="dxa"/>
            <w:vAlign w:val="center"/>
          </w:tcPr>
          <w:p>
            <w:pPr>
              <w:rPr>
                <w:color w:val="000000" w:themeColor="text1"/>
                <w:highlight w:val="none"/>
              </w:rPr>
            </w:pPr>
            <w:r>
              <w:rPr>
                <w:rFonts w:hint="eastAsia"/>
                <w:color w:val="000000" w:themeColor="text1"/>
                <w:highlight w:val="none"/>
              </w:rPr>
              <w:t>有效至</w:t>
            </w:r>
            <w:r>
              <w:rPr>
                <w:rFonts w:hint="eastAsia"/>
                <w:color w:val="000000" w:themeColor="text1"/>
                <w:highlight w:val="none"/>
                <w:lang w:val="en-US" w:eastAsia="zh-CN"/>
              </w:rPr>
              <w:t>2024</w:t>
            </w:r>
            <w:r>
              <w:rPr>
                <w:rFonts w:hint="eastAsia"/>
                <w:color w:val="000000" w:themeColor="text1"/>
                <w:highlight w:val="none"/>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3</w:t>
            </w:r>
            <w:r>
              <w:rPr>
                <w:rFonts w:hint="eastAsia"/>
                <w:color w:val="000000" w:themeColor="text1"/>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32"/>
        <w:gridCol w:w="618"/>
        <w:gridCol w:w="3273"/>
        <w:gridCol w:w="108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332" w:type="dxa"/>
            <w:shd w:val="clear" w:color="auto" w:fill="F3F3F3"/>
            <w:tcMar>
              <w:left w:w="57" w:type="dxa"/>
              <w:right w:w="57" w:type="dxa"/>
            </w:tcMar>
          </w:tcPr>
          <w:p>
            <w:r>
              <w:rPr>
                <w:rFonts w:hint="eastAsia"/>
              </w:rPr>
              <w:t>经营场所的地址</w:t>
            </w:r>
          </w:p>
          <w:p>
            <w:r>
              <w:rPr>
                <w:rFonts w:hint="eastAsia"/>
              </w:rPr>
              <w:t>（多现场和临时现场）</w:t>
            </w:r>
          </w:p>
        </w:tc>
        <w:tc>
          <w:tcPr>
            <w:tcW w:w="618" w:type="dxa"/>
            <w:shd w:val="clear" w:color="auto" w:fill="F3F3F3"/>
            <w:tcMar>
              <w:left w:w="57" w:type="dxa"/>
              <w:right w:w="57" w:type="dxa"/>
            </w:tcMar>
          </w:tcPr>
          <w:p>
            <w:r>
              <w:rPr>
                <w:rFonts w:hint="eastAsia"/>
              </w:rPr>
              <w:t>员工人数</w:t>
            </w:r>
          </w:p>
        </w:tc>
        <w:tc>
          <w:tcPr>
            <w:tcW w:w="3273" w:type="dxa"/>
            <w:shd w:val="clear" w:color="auto" w:fill="F3F3F3"/>
            <w:tcMar>
              <w:left w:w="57" w:type="dxa"/>
              <w:right w:w="57" w:type="dxa"/>
            </w:tcMar>
          </w:tcPr>
          <w:p>
            <w:r>
              <w:rPr>
                <w:rFonts w:hint="eastAsia"/>
              </w:rPr>
              <w:t>审核范围（产品和过程）</w:t>
            </w:r>
          </w:p>
          <w:p/>
          <w:p/>
        </w:tc>
        <w:tc>
          <w:tcPr>
            <w:tcW w:w="108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重庆东电科技有限公司</w:t>
            </w:r>
            <w:r>
              <w:rPr>
                <w:rFonts w:hint="eastAsia"/>
                <w:sz w:val="21"/>
                <w:szCs w:val="21"/>
                <w:lang w:val="en-US" w:eastAsia="zh-CN"/>
              </w:rPr>
              <w:t>/</w:t>
            </w:r>
            <w:r>
              <w:rPr>
                <w:rFonts w:asciiTheme="minorEastAsia" w:hAnsiTheme="minorEastAsia" w:eastAsiaTheme="minorEastAsia"/>
                <w:sz w:val="20"/>
              </w:rPr>
              <w:t>重庆市渝北区人和雪松路2号6幢（原2幢）1-9-2</w:t>
            </w:r>
          </w:p>
        </w:tc>
        <w:tc>
          <w:tcPr>
            <w:tcW w:w="1332" w:type="dxa"/>
          </w:tcPr>
          <w:p>
            <w:pPr>
              <w:rPr>
                <w:lang w:val="de-DE" w:eastAsia="ja-JP"/>
              </w:rPr>
            </w:pPr>
            <w:r>
              <w:rPr>
                <w:rFonts w:asciiTheme="minorEastAsia" w:hAnsiTheme="minorEastAsia" w:eastAsiaTheme="minorEastAsia"/>
                <w:sz w:val="20"/>
              </w:rPr>
              <w:t>重庆市渝北区中智联工业园</w:t>
            </w:r>
          </w:p>
        </w:tc>
        <w:tc>
          <w:tcPr>
            <w:tcW w:w="618" w:type="dxa"/>
            <w:vAlign w:val="center"/>
          </w:tcPr>
          <w:p>
            <w:pPr>
              <w:rPr>
                <w:rFonts w:hint="default" w:eastAsia="宋体"/>
                <w:highlight w:val="none"/>
                <w:lang w:val="en-US" w:eastAsia="zh-CN"/>
              </w:rPr>
            </w:pPr>
            <w:r>
              <w:rPr>
                <w:rFonts w:hint="eastAsia"/>
                <w:highlight w:val="none"/>
                <w:lang w:val="en-US" w:eastAsia="zh-CN"/>
              </w:rPr>
              <w:t>55</w:t>
            </w:r>
          </w:p>
        </w:tc>
        <w:tc>
          <w:tcPr>
            <w:tcW w:w="3273" w:type="dxa"/>
            <w:vAlign w:val="center"/>
          </w:tcPr>
          <w:p>
            <w:pPr>
              <w:rPr>
                <w:lang w:eastAsia="ja-JP"/>
              </w:rPr>
            </w:pPr>
            <w:r>
              <w:rPr>
                <w:sz w:val="20"/>
              </w:rPr>
              <w:t>E：通信仪器仪表、通信电力安防监控设备、计算机应用软件的研发销售，通信电力配套耗材用品、劳保用品、五金产品的销售所涉及场所的相关环境管理活动</w:t>
            </w:r>
          </w:p>
        </w:tc>
        <w:tc>
          <w:tcPr>
            <w:tcW w:w="1087" w:type="dxa"/>
            <w:vAlign w:val="center"/>
          </w:tcPr>
          <w:p>
            <w:r>
              <w:t>GB/T24001-2016</w:t>
            </w:r>
          </w:p>
          <w:p>
            <w:pPr>
              <w:pStyle w:val="2"/>
              <w:rPr>
                <w:rFonts w:ascii="Times New Roman" w:hAnsi="Times New Roman" w:eastAsia="宋体" w:cs="Times New Roman"/>
                <w:bCs/>
                <w:spacing w:val="10"/>
                <w:kern w:val="2"/>
                <w:sz w:val="21"/>
                <w:szCs w:val="24"/>
                <w:lang w:val="en-US" w:eastAsia="ja-JP" w:bidi="ar-SA"/>
              </w:rPr>
            </w:pP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重庆东电科技有限公司</w:t>
            </w:r>
            <w:r>
              <w:rPr>
                <w:rFonts w:hint="eastAsia"/>
                <w:sz w:val="21"/>
                <w:szCs w:val="21"/>
                <w:lang w:val="en-US" w:eastAsia="zh-CN"/>
              </w:rPr>
              <w:t>/</w:t>
            </w:r>
            <w:r>
              <w:rPr>
                <w:rFonts w:asciiTheme="minorEastAsia" w:hAnsiTheme="minorEastAsia" w:eastAsiaTheme="minorEastAsia"/>
                <w:sz w:val="20"/>
              </w:rPr>
              <w:t>重庆市渝北区人和雪松路2号6幢（原2幢）1-9-2</w:t>
            </w:r>
          </w:p>
        </w:tc>
        <w:tc>
          <w:tcPr>
            <w:tcW w:w="1332"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重庆市渝北区中智联工业园</w:t>
            </w:r>
          </w:p>
        </w:tc>
        <w:tc>
          <w:tcPr>
            <w:tcW w:w="618" w:type="dxa"/>
            <w:vAlign w:val="center"/>
          </w:tcPr>
          <w:p>
            <w:pPr>
              <w:rPr>
                <w:rFonts w:hint="default" w:eastAsia="宋体"/>
                <w:highlight w:val="none"/>
                <w:lang w:val="en-US" w:eastAsia="zh-CN"/>
              </w:rPr>
            </w:pPr>
            <w:r>
              <w:rPr>
                <w:rFonts w:hint="eastAsia"/>
                <w:highlight w:val="none"/>
                <w:lang w:val="en-US" w:eastAsia="zh-CN"/>
              </w:rPr>
              <w:t>55</w:t>
            </w:r>
          </w:p>
        </w:tc>
        <w:tc>
          <w:tcPr>
            <w:tcW w:w="3273" w:type="dxa"/>
            <w:vAlign w:val="center"/>
          </w:tcPr>
          <w:p>
            <w:pPr>
              <w:rPr>
                <w:lang w:eastAsia="ja-JP"/>
              </w:rPr>
            </w:pPr>
            <w:r>
              <w:rPr>
                <w:sz w:val="20"/>
              </w:rPr>
              <w:t>通信仪器仪表、通信电力安防监控设备、计算机应用软件的研发销售。通信电力配套耗材用品、劳保用品、五金产品的销售所涉及场所的相关职业健康安全管理活动</w:t>
            </w:r>
          </w:p>
        </w:tc>
        <w:tc>
          <w:tcPr>
            <w:tcW w:w="1087"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332" w:type="dxa"/>
            <w:vAlign w:val="center"/>
          </w:tcPr>
          <w:p>
            <w:pPr>
              <w:rPr>
                <w:lang w:eastAsia="ja-JP"/>
              </w:rPr>
            </w:pPr>
          </w:p>
        </w:tc>
        <w:tc>
          <w:tcPr>
            <w:tcW w:w="618" w:type="dxa"/>
            <w:vAlign w:val="center"/>
          </w:tcPr>
          <w:p>
            <w:pPr>
              <w:rPr>
                <w:lang w:eastAsia="ja-JP"/>
              </w:rPr>
            </w:pPr>
          </w:p>
        </w:tc>
        <w:tc>
          <w:tcPr>
            <w:tcW w:w="3273" w:type="dxa"/>
            <w:vAlign w:val="center"/>
          </w:tcPr>
          <w:p>
            <w:pPr>
              <w:rPr>
                <w:lang w:eastAsia="ja-JP"/>
              </w:rPr>
            </w:pPr>
          </w:p>
        </w:tc>
        <w:tc>
          <w:tcPr>
            <w:tcW w:w="108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332" w:type="dxa"/>
            <w:vAlign w:val="center"/>
          </w:tcPr>
          <w:p>
            <w:pPr>
              <w:rPr>
                <w:lang w:eastAsia="ja-JP"/>
              </w:rPr>
            </w:pPr>
          </w:p>
        </w:tc>
        <w:tc>
          <w:tcPr>
            <w:tcW w:w="618" w:type="dxa"/>
            <w:vAlign w:val="center"/>
          </w:tcPr>
          <w:p>
            <w:pPr>
              <w:rPr>
                <w:lang w:eastAsia="ja-JP"/>
              </w:rPr>
            </w:pPr>
          </w:p>
        </w:tc>
        <w:tc>
          <w:tcPr>
            <w:tcW w:w="3273" w:type="dxa"/>
            <w:vAlign w:val="center"/>
          </w:tcPr>
          <w:p>
            <w:pPr>
              <w:rPr>
                <w:lang w:eastAsia="ja-JP"/>
              </w:rPr>
            </w:pPr>
          </w:p>
        </w:tc>
        <w:tc>
          <w:tcPr>
            <w:tcW w:w="108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332" w:type="dxa"/>
            <w:vAlign w:val="center"/>
          </w:tcPr>
          <w:p>
            <w:pPr>
              <w:rPr>
                <w:lang w:eastAsia="ja-JP"/>
              </w:rPr>
            </w:pPr>
          </w:p>
        </w:tc>
        <w:tc>
          <w:tcPr>
            <w:tcW w:w="618" w:type="dxa"/>
            <w:vAlign w:val="center"/>
          </w:tcPr>
          <w:p>
            <w:pPr>
              <w:rPr>
                <w:lang w:eastAsia="ja-JP"/>
              </w:rPr>
            </w:pPr>
          </w:p>
        </w:tc>
        <w:tc>
          <w:tcPr>
            <w:tcW w:w="3273" w:type="dxa"/>
            <w:vAlign w:val="center"/>
          </w:tcPr>
          <w:p>
            <w:pPr>
              <w:rPr>
                <w:lang w:eastAsia="ja-JP"/>
              </w:rPr>
            </w:pPr>
          </w:p>
        </w:tc>
        <w:tc>
          <w:tcPr>
            <w:tcW w:w="1087"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9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94" w:type="dxa"/>
            <w:vAlign w:val="center"/>
          </w:tcPr>
          <w:p>
            <w:r>
              <w:rPr>
                <w:rFonts w:hint="eastAsia"/>
              </w:rPr>
              <w:t>审核员注册证书号</w:t>
            </w:r>
          </w:p>
        </w:tc>
        <w:tc>
          <w:tcPr>
            <w:tcW w:w="275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294" w:type="dxa"/>
            <w:vAlign w:val="center"/>
          </w:tcPr>
          <w:p>
            <w:r>
              <w:t>2021-N1EMS-3093566</w:t>
            </w:r>
          </w:p>
          <w:p>
            <w:r>
              <w:t>2019-N1OHSMS-2093566</w:t>
            </w:r>
          </w:p>
        </w:tc>
        <w:tc>
          <w:tcPr>
            <w:tcW w:w="2755" w:type="dxa"/>
            <w:vAlign w:val="center"/>
          </w:tcPr>
          <w:p>
            <w:r>
              <w:t>E:19.05.01,29.12.00,33.02.01</w:t>
            </w:r>
          </w:p>
          <w:p>
            <w:r>
              <w:t>O:19.05.01,29.12.00,33.02.01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294" w:type="dxa"/>
            <w:vAlign w:val="center"/>
          </w:tcPr>
          <w:p>
            <w:r>
              <w:t>2020-N1EMS-1267598</w:t>
            </w:r>
          </w:p>
          <w:p>
            <w:r>
              <w:t>2021-N1OHSMS-1267598</w:t>
            </w:r>
          </w:p>
        </w:tc>
        <w:tc>
          <w:tcPr>
            <w:tcW w:w="2755" w:type="dxa"/>
            <w:vAlign w:val="center"/>
          </w:tcPr>
          <w:p>
            <w:r>
              <w:t>E:29.12.00,33.02.01</w:t>
            </w:r>
          </w:p>
          <w:p>
            <w:r>
              <w:t>O:29.12.00,33.02.01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294" w:type="dxa"/>
            <w:vAlign w:val="center"/>
          </w:tcPr>
          <w:p/>
        </w:tc>
        <w:tc>
          <w:tcPr>
            <w:tcW w:w="27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94" w:type="dxa"/>
            <w:vAlign w:val="center"/>
          </w:tcPr>
          <w:p>
            <w:r>
              <w:rPr>
                <w:rFonts w:hint="eastAsia"/>
              </w:rPr>
              <w:t>工作单位</w:t>
            </w:r>
          </w:p>
        </w:tc>
        <w:tc>
          <w:tcPr>
            <w:tcW w:w="2755"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294" w:type="dxa"/>
            <w:vAlign w:val="center"/>
          </w:tcPr>
          <w:p/>
        </w:tc>
        <w:tc>
          <w:tcPr>
            <w:tcW w:w="27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294" w:type="dxa"/>
            <w:vAlign w:val="center"/>
          </w:tcPr>
          <w:p/>
        </w:tc>
        <w:tc>
          <w:tcPr>
            <w:tcW w:w="2755"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rPr>
            </w:pPr>
            <w:r>
              <w:rPr>
                <w:rFonts w:hint="eastAsia" w:eastAsia="宋体"/>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rPr>
            </w:pPr>
            <w:r>
              <w:rPr>
                <w:rFonts w:hint="eastAsia" w:eastAsia="宋体"/>
              </w:rPr>
              <w:t>上次审核不符合项</w:t>
            </w:r>
            <w:r>
              <w:rPr>
                <w:rFonts w:hint="eastAsia" w:eastAsia="宋体"/>
                <w:lang w:val="en-US" w:eastAsia="zh-CN"/>
              </w:rPr>
              <w:t>为：技术部E8.1，经本次审核验证均整改且无类似不符合情况出现。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highlight w:val="none"/>
              </w:rPr>
            </w:pPr>
            <w:r>
              <w:rPr>
                <w:rFonts w:hint="eastAsia"/>
                <w:color w:val="000000" w:themeColor="text1"/>
                <w:highlight w:val="none"/>
              </w:rPr>
              <w:t>EMS</w:t>
            </w:r>
          </w:p>
        </w:tc>
        <w:tc>
          <w:tcPr>
            <w:tcW w:w="1698" w:type="dxa"/>
          </w:tcPr>
          <w:p>
            <w:pPr>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1717" w:type="dxa"/>
          </w:tcPr>
          <w:p>
            <w:pPr>
              <w:rPr>
                <w:rFonts w:hint="eastAsia" w:eastAsia="宋体"/>
                <w:color w:val="000000" w:themeColor="text1"/>
                <w:highlight w:val="none"/>
                <w:lang w:val="en-US" w:eastAsia="zh-CN"/>
              </w:rPr>
            </w:pPr>
            <w:r>
              <w:rPr>
                <w:rFonts w:hint="eastAsia"/>
                <w:color w:val="000000" w:themeColor="text1"/>
                <w:highlight w:val="none"/>
                <w:lang w:val="en-US" w:eastAsia="zh-CN"/>
              </w:rPr>
              <w:t>0</w:t>
            </w:r>
          </w:p>
        </w:tc>
        <w:tc>
          <w:tcPr>
            <w:tcW w:w="1560" w:type="dxa"/>
          </w:tcPr>
          <w:p>
            <w:pPr>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2965" w:type="dxa"/>
          </w:tcPr>
          <w:p>
            <w:pPr>
              <w:rPr>
                <w:color w:val="000000" w:themeColor="text1"/>
                <w:highlight w:val="none"/>
              </w:rPr>
            </w:pPr>
            <w:r>
              <w:rPr>
                <w:rFonts w:hint="eastAsia" w:ascii="宋体" w:hAnsi="宋体" w:eastAsia="宋体" w:cs="宋体"/>
                <w:color w:val="000000" w:themeColor="text1"/>
                <w:highlight w:val="none"/>
              </w:rPr>
              <w:t>■</w:t>
            </w:r>
            <w:r>
              <w:rPr>
                <w:rFonts w:hint="eastAsia"/>
                <w:color w:val="000000" w:themeColor="text1"/>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highlight w:val="none"/>
              </w:rPr>
            </w:pPr>
            <w:r>
              <w:rPr>
                <w:rFonts w:hint="eastAsia"/>
                <w:color w:val="000000" w:themeColor="text1"/>
                <w:highlight w:val="none"/>
              </w:rPr>
              <w:t>OHSMS</w:t>
            </w:r>
          </w:p>
        </w:tc>
        <w:tc>
          <w:tcPr>
            <w:tcW w:w="1698"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lang w:val="en-US" w:eastAsia="zh-CN"/>
              </w:rPr>
              <w:t>1</w:t>
            </w:r>
          </w:p>
        </w:tc>
        <w:tc>
          <w:tcPr>
            <w:tcW w:w="1717"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lang w:val="en-US" w:eastAsia="zh-CN"/>
              </w:rPr>
              <w:t>0</w:t>
            </w:r>
          </w:p>
        </w:tc>
        <w:tc>
          <w:tcPr>
            <w:tcW w:w="1560"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lang w:val="en-US" w:eastAsia="zh-CN"/>
              </w:rPr>
              <w:t>1</w:t>
            </w:r>
          </w:p>
        </w:tc>
        <w:tc>
          <w:tcPr>
            <w:tcW w:w="2965" w:type="dxa"/>
            <w:vAlign w:val="top"/>
          </w:tcPr>
          <w:p>
            <w:pPr>
              <w:rPr>
                <w:rFonts w:ascii="Times New Roman" w:hAnsi="Times New Roman" w:eastAsia="宋体" w:cs="Times New Roman"/>
                <w:color w:val="000000" w:themeColor="text1"/>
                <w:kern w:val="2"/>
                <w:sz w:val="21"/>
                <w:szCs w:val="24"/>
                <w:highlight w:val="none"/>
                <w:lang w:val="en-US" w:eastAsia="zh-CN" w:bidi="ar-SA"/>
              </w:rPr>
            </w:pPr>
            <w:r>
              <w:rPr>
                <w:rFonts w:hint="eastAsia" w:ascii="宋体" w:hAnsi="宋体" w:eastAsia="宋体" w:cs="宋体"/>
                <w:color w:val="000000" w:themeColor="text1"/>
                <w:highlight w:val="none"/>
              </w:rPr>
              <w:t>■</w:t>
            </w:r>
            <w:r>
              <w:rPr>
                <w:rFonts w:hint="eastAsia"/>
                <w:color w:val="000000" w:themeColor="text1"/>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通信仪器仪表、通信电力安防监控设备、计算机应用软件的研发销售，通信电力配套耗材用品、劳保用品、五金产品的销售所涉及场所的相关环境管理活动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通信仪器仪表、通信电力安防监控设备、计算机应用软件的研发销售。通信电力配套耗材用品、劳保用品、五金产品的销售所涉及场所的相关职业健康安全管理活动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427355</wp:posOffset>
                  </wp:positionH>
                  <wp:positionV relativeFrom="paragraph">
                    <wp:posOffset>60960</wp:posOffset>
                  </wp:positionV>
                  <wp:extent cx="324485" cy="325755"/>
                  <wp:effectExtent l="8255" t="8255" r="10160" b="8890"/>
                  <wp:wrapNone/>
                  <wp:docPr id="1" name="图片 1"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jpg"/>
                          <pic:cNvPicPr>
                            <a:picLocks noChangeAspect="1"/>
                          </pic:cNvPicPr>
                        </pic:nvPicPr>
                        <pic:blipFill>
                          <a:blip r:embed="rId6"/>
                          <a:stretch>
                            <a:fillRect/>
                          </a:stretch>
                        </pic:blipFill>
                        <pic:spPr>
                          <a:xfrm rot="21420000">
                            <a:off x="0" y="0"/>
                            <a:ext cx="324485" cy="3257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b/>
                <w:sz w:val="20"/>
              </w:rPr>
              <w:t>2021年12月23日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保证质量  重视环保 安全健康  风险预控 优化管理  诚信守法 顾客满意 持续改进</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eastAsia" w:ascii="宋体" w:hAnsi="宋体"/>
                      <w:b w:val="0"/>
                      <w:bCs/>
                      <w:sz w:val="21"/>
                      <w:szCs w:val="21"/>
                      <w:highlight w:val="none"/>
                      <w:lang w:eastAsia="zh-CN"/>
                    </w:rPr>
                    <w:t>固体废弃物的</w:t>
                  </w:r>
                  <w:r>
                    <w:rPr>
                      <w:rFonts w:hint="eastAsia" w:ascii="宋体" w:hAnsi="宋体"/>
                      <w:b w:val="0"/>
                      <w:bCs/>
                      <w:sz w:val="21"/>
                      <w:szCs w:val="21"/>
                      <w:highlight w:val="none"/>
                    </w:rPr>
                    <w:t>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lang w:eastAsia="zh-CN"/>
              </w:rPr>
              <w:t>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szCs w:val="21"/>
                      <w:lang w:val="en-US" w:eastAsia="zh-CN"/>
                    </w:rPr>
                  </w:pPr>
                  <w:r>
                    <w:rPr>
                      <w:rFonts w:hint="eastAsia"/>
                      <w:szCs w:val="21"/>
                    </w:rPr>
                    <w:t>固体废弃物100%分类收集，统一处理</w:t>
                  </w:r>
                </w:p>
              </w:tc>
              <w:tc>
                <w:tcPr>
                  <w:tcW w:w="3136" w:type="dxa"/>
                  <w:shd w:val="clear" w:color="auto" w:fill="auto"/>
                  <w:vAlign w:val="center"/>
                </w:tcPr>
                <w:p>
                  <w:pPr>
                    <w:shd w:val="clear" w:color="auto" w:fill="EBF1DE" w:themeFill="accent3" w:themeFillTint="32"/>
                    <w:rPr>
                      <w:rFonts w:hint="eastAsia"/>
                      <w:szCs w:val="21"/>
                      <w:lang w:val="en-GB"/>
                    </w:rPr>
                  </w:pPr>
                  <w:r>
                    <w:rPr>
                      <w:rFonts w:hint="eastAsia"/>
                      <w:szCs w:val="21"/>
                    </w:rPr>
                    <w:t>采取分类收集、管理方案</w:t>
                  </w:r>
                  <w:r>
                    <w:rPr>
                      <w:rFonts w:hint="eastAsia"/>
                      <w:szCs w:val="21"/>
                      <w:lang w:val="en-US" w:eastAsia="zh-CN"/>
                    </w:rPr>
                    <w:t>进行</w:t>
                  </w:r>
                  <w:r>
                    <w:rPr>
                      <w:rFonts w:hint="eastAsia"/>
                      <w:szCs w:val="21"/>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szCs w:val="21"/>
                      <w:lang w:val="en-US" w:eastAsia="zh-CN"/>
                    </w:rPr>
                  </w:pPr>
                  <w:r>
                    <w:rPr>
                      <w:rFonts w:hint="eastAsia"/>
                      <w:szCs w:val="21"/>
                    </w:rPr>
                    <w:t>火灾发生率为零</w:t>
                  </w:r>
                </w:p>
              </w:tc>
              <w:tc>
                <w:tcPr>
                  <w:tcW w:w="3136" w:type="dxa"/>
                  <w:shd w:val="clear" w:color="auto" w:fill="auto"/>
                  <w:vAlign w:val="center"/>
                </w:tcPr>
                <w:p>
                  <w:pPr>
                    <w:shd w:val="clear" w:color="auto" w:fill="EBF1DE" w:themeFill="accent3" w:themeFillTint="32"/>
                    <w:rPr>
                      <w:rFonts w:hint="eastAsia"/>
                      <w:szCs w:val="21"/>
                    </w:rPr>
                  </w:pPr>
                  <w:r>
                    <w:rPr>
                      <w:rFonts w:hint="eastAsia"/>
                      <w:szCs w:val="21"/>
                      <w:lang w:val="en-US" w:eastAsia="zh-CN"/>
                    </w:rPr>
                    <w:t>通过</w:t>
                  </w:r>
                  <w:r>
                    <w:rPr>
                      <w:rFonts w:hint="eastAsia"/>
                      <w:szCs w:val="21"/>
                    </w:rPr>
                    <w:t>管理方案和预案措施</w:t>
                  </w:r>
                  <w:r>
                    <w:rPr>
                      <w:rFonts w:hint="eastAsia"/>
                      <w:szCs w:val="21"/>
                      <w:lang w:eastAsia="zh-CN"/>
                    </w:rPr>
                    <w:t>、</w:t>
                  </w:r>
                  <w:r>
                    <w:rPr>
                      <w:rFonts w:hint="eastAsia"/>
                      <w:szCs w:val="21"/>
                      <w:lang w:val="en-US" w:eastAsia="zh-CN"/>
                    </w:rPr>
                    <w:t>应急演练进行</w:t>
                  </w:r>
                  <w:r>
                    <w:rPr>
                      <w:rFonts w:hint="eastAsia"/>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 xml:space="preserve">办公区域面积 </w:t>
            </w:r>
            <w:r>
              <w:rPr>
                <w:rFonts w:hint="eastAsia" w:ascii="Times New Roman" w:hAnsi="Times New Roman" w:eastAsia="宋体" w:cs="Times New Roman"/>
                <w:u w:val="single"/>
                <w:lang w:val="en-US" w:eastAsia="zh-CN"/>
              </w:rPr>
              <w:t>500</w:t>
            </w:r>
            <w:r>
              <w:rPr>
                <w:rFonts w:hint="eastAsia" w:ascii="Times New Roman" w:hAnsi="Times New Roman" w:eastAsia="宋体" w:cs="Times New Roman"/>
                <w:u w:val="single"/>
              </w:rPr>
              <w:t xml:space="preserve"> </w:t>
            </w:r>
            <w:r>
              <w:rPr>
                <w:rFonts w:hint="eastAsia" w:ascii="Times New Roman" w:hAnsi="Times New Roman" w:eastAsia="宋体" w:cs="Times New Roman"/>
              </w:rPr>
              <w:t>平方米；</w:t>
            </w:r>
            <w:r>
              <w:rPr>
                <w:rFonts w:hint="eastAsia" w:ascii="Times New Roman" w:hAnsi="Times New Roman" w:eastAsia="宋体" w:cs="Times New Roman"/>
                <w:lang w:val="en-US" w:eastAsia="zh-CN"/>
              </w:rPr>
              <w:t>办公场所</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 xml:space="preserve"> </w:t>
            </w:r>
            <w:r>
              <w:rPr>
                <w:rFonts w:hint="eastAsia" w:ascii="Times New Roman" w:hAnsi="Times New Roman" w:eastAsia="宋体" w:cs="Times New Roman"/>
              </w:rPr>
              <w:t>个；</w:t>
            </w:r>
            <w:r>
              <w:rPr>
                <w:rFonts w:hint="eastAsia" w:cs="Times New Roman"/>
                <w:lang w:val="en-US" w:eastAsia="zh-CN"/>
              </w:rPr>
              <w:t>库房</w:t>
            </w:r>
            <w:r>
              <w:rPr>
                <w:rFonts w:hint="eastAsia" w:cs="Times New Roman"/>
                <w:u w:val="single"/>
                <w:lang w:val="en-US" w:eastAsia="zh-CN"/>
              </w:rPr>
              <w:t xml:space="preserve">  1</w:t>
            </w:r>
            <w:r>
              <w:rPr>
                <w:rFonts w:hint="eastAsia" w:cs="Times New Roman"/>
                <w:lang w:val="en-US" w:eastAsia="zh-CN"/>
              </w:rPr>
              <w:t xml:space="preserve">个； </w:t>
            </w:r>
            <w:r>
              <w:rPr>
                <w:rFonts w:hint="eastAsia" w:ascii="Times New Roman" w:hAnsi="Times New Roman" w:eastAsia="宋体" w:cs="Times New Roman"/>
                <w:lang w:eastAsia="zh-CN"/>
              </w:rPr>
              <w:t>临时</w:t>
            </w:r>
            <w:r>
              <w:rPr>
                <w:rFonts w:hint="eastAsia" w:ascii="Times New Roman" w:hAnsi="Times New Roman" w:eastAsia="宋体" w:cs="Times New Roman"/>
                <w:lang w:val="en-US" w:eastAsia="zh-CN"/>
              </w:rPr>
              <w:t>场所</w:t>
            </w:r>
            <w:r>
              <w:rPr>
                <w:rFonts w:hint="eastAsia" w:ascii="Times New Roman" w:hAnsi="Times New Roman" w:eastAsia="宋体" w:cs="Times New Roman"/>
              </w:rPr>
              <w:t xml:space="preserve">  </w:t>
            </w:r>
            <w:r>
              <w:rPr>
                <w:rFonts w:hint="eastAsia" w:cs="Times New Roman"/>
                <w:lang w:val="en-US" w:eastAsia="zh-CN"/>
              </w:rPr>
              <w:t xml:space="preserve"> </w:t>
            </w:r>
            <w:r>
              <w:rPr>
                <w:rFonts w:hint="eastAsia" w:ascii="Times New Roman" w:hAnsi="Times New Roman" w:eastAsia="宋体" w:cs="Times New Roman"/>
              </w:rPr>
              <w:t xml:space="preserve">  个；实验室   个；</w:t>
            </w:r>
          </w:p>
          <w:p>
            <w:pPr>
              <w:shd w:val="clear" w:color="auto" w:fill="EBF1DE" w:themeFill="accent3" w:themeFillTint="32"/>
              <w:rPr>
                <w:rFonts w:hint="eastAsia" w:ascii="Times New Roman" w:hAnsi="Times New Roman" w:eastAsia="宋体" w:cs="Times New Roman"/>
                <w:color w:val="000000" w:themeColor="text1"/>
                <w:highlight w:val="none"/>
                <w:lang w:eastAsia="zh-CN"/>
              </w:rPr>
            </w:pPr>
            <w:r>
              <w:rPr>
                <w:rFonts w:hint="eastAsia" w:ascii="Times New Roman" w:hAnsi="Times New Roman" w:eastAsia="宋体" w:cs="Times New Roman"/>
              </w:rPr>
              <w:t>主要生产设备有：</w:t>
            </w:r>
            <w:r>
              <w:rPr>
                <w:rFonts w:hint="eastAsia" w:eastAsia="宋体" w:cs="Times New Roman"/>
                <w:color w:val="000000" w:themeColor="text1"/>
                <w:highlight w:val="none"/>
                <w:u w:val="single"/>
                <w:lang w:eastAsia="zh-CN"/>
              </w:rPr>
              <w:t>办公设备、电脑、打印机、</w:t>
            </w:r>
            <w:r>
              <w:rPr>
                <w:rFonts w:hint="eastAsia" w:cs="Times New Roman"/>
                <w:color w:val="000000" w:themeColor="text1"/>
                <w:highlight w:val="none"/>
                <w:u w:val="single"/>
                <w:lang w:val="en-US" w:eastAsia="zh-CN"/>
              </w:rPr>
              <w:t>编程软件、测试装置</w:t>
            </w:r>
            <w:r>
              <w:rPr>
                <w:rFonts w:hint="eastAsia" w:eastAsia="宋体" w:cs="Times New Roman"/>
                <w:color w:val="000000" w:themeColor="text1"/>
                <w:highlight w:val="none"/>
                <w:u w:val="single"/>
                <w:lang w:eastAsia="zh-CN"/>
              </w:rPr>
              <w:t>等</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r>
                    <w:rPr>
                      <w:rFonts w:hint="eastAsia" w:ascii="宋体" w:hAnsi="宋体"/>
                      <w:b w:val="0"/>
                      <w:bCs/>
                      <w:sz w:val="21"/>
                      <w:szCs w:val="21"/>
                      <w:lang w:eastAsia="zh-CN"/>
                    </w:rPr>
                    <w:t>固体废弃物的</w:t>
                  </w:r>
                  <w:r>
                    <w:rPr>
                      <w:rFonts w:hint="eastAsia" w:ascii="宋体" w:hAnsi="宋体"/>
                      <w:b w:val="0"/>
                      <w:bCs/>
                      <w:sz w:val="21"/>
                      <w:szCs w:val="21"/>
                    </w:rPr>
                    <w:t>排放</w:t>
                  </w: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r>
                    <w:rPr>
                      <w:rFonts w:hint="eastAsia" w:ascii="宋体" w:eastAsia="宋体"/>
                      <w:b w:val="0"/>
                      <w:bCs/>
                      <w:sz w:val="21"/>
                      <w:szCs w:val="21"/>
                      <w:lang w:val="en-US" w:eastAsia="zh-CN"/>
                    </w:rPr>
                    <w:t>潜在火灾</w:t>
                  </w: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p>
              </w:tc>
              <w:tc>
                <w:tcPr>
                  <w:tcW w:w="263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eastAsia" w:ascii="Times New Roman" w:hAnsi="Times New Roman" w:cs="Times New Roman"/>
                      <w:color w:val="000000"/>
                      <w:lang w:val="en-US" w:eastAsia="zh-CN"/>
                    </w:rPr>
                  </w:pP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p>
              </w:tc>
              <w:tc>
                <w:tcPr>
                  <w:tcW w:w="263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cs="Times New Roman"/>
                <w:color w:val="000000"/>
                <w:highlight w:val="none"/>
                <w:u w:val="single"/>
                <w:lang w:eastAsia="zh-CN"/>
              </w:rPr>
              <w:t>2021年8月5日</w:t>
            </w:r>
            <w:r>
              <w:rPr>
                <w:rFonts w:hint="eastAsia" w:ascii="Times New Roman" w:hAnsi="Times New Roman" w:cs="Times New Roman"/>
                <w:color w:val="000000"/>
                <w:highlight w:val="none"/>
                <w:u w:val="single"/>
                <w:lang w:eastAsia="zh-CN"/>
              </w:rPr>
              <w:t>进行的消防应急预案演练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2021年7月10日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2021年11月10日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w:t>
            </w:r>
            <w:r>
              <w:rPr>
                <w:rFonts w:hint="eastAsia"/>
                <w:highlight w:val="none"/>
              </w:rPr>
              <w:t>间隔，在</w:t>
            </w:r>
            <w:r>
              <w:rPr>
                <w:rFonts w:hint="eastAsia"/>
                <w:color w:val="000000"/>
                <w:szCs w:val="18"/>
                <w:highlight w:val="none"/>
                <w:u w:val="single"/>
                <w:lang w:val="en-US" w:eastAsia="zh-CN"/>
              </w:rPr>
              <w:t>2021年11月25日</w:t>
            </w:r>
            <w:r>
              <w:rPr>
                <w:rFonts w:hint="eastAsia"/>
                <w:highlight w:val="none"/>
              </w:rPr>
              <w:t>对组织的环境管理体系进行了评审，以确保其持续的适宜性、充分性和有效性；管理评审输入、输出均</w:t>
            </w:r>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highlight w:val="none"/>
              </w:rPr>
            </w:pPr>
            <w:r>
              <w:rPr>
                <w:rFonts w:hint="eastAsia" w:eastAsia="宋体"/>
                <w:highlight w:val="none"/>
                <w:lang w:eastAsia="zh-CN"/>
              </w:rPr>
              <w:t>■</w:t>
            </w:r>
            <w:r>
              <w:rPr>
                <w:rFonts w:hint="eastAsia" w:eastAsia="宋体"/>
                <w:highlight w:val="none"/>
              </w:rPr>
              <w:t xml:space="preserve">内审不符合项   </w:t>
            </w:r>
            <w:r>
              <w:rPr>
                <w:rFonts w:hint="eastAsia" w:ascii="宋体" w:hAnsi="宋体" w:eastAsia="宋体" w:cs="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组织持续改进了环境管理体系的适宜性、充分性与有效性，以提升环境绩效。</w:t>
            </w:r>
          </w:p>
        </w:tc>
      </w:tr>
    </w:tbl>
    <w:p>
      <w:pPr>
        <w:shd w:val="clear" w:color="auto" w:fill="EBF1DE" w:themeFill="accent3"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保证质量  重视环保 安全健康  风险预控 优化管理  诚信守法 顾客满意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组织建立了参与和协商的机制，由所有相关层次和职能部门的员工和员工代表参与（包括协商）建立、策划、实施、评价和改进职业健康安全管理体系。</w:t>
            </w:r>
          </w:p>
          <w:p>
            <w:pPr>
              <w:rPr>
                <w:rFonts w:hint="eastAsia" w:eastAsia="宋体"/>
              </w:rPr>
            </w:pPr>
          </w:p>
          <w:p>
            <w:pPr>
              <w:rPr>
                <w:rFonts w:hint="default" w:eastAsia="宋体"/>
                <w:lang w:val="en-US" w:eastAsia="zh-CN"/>
              </w:rPr>
            </w:pPr>
            <w:r>
              <w:rPr>
                <w:rFonts w:hint="eastAsia" w:eastAsia="宋体"/>
              </w:rPr>
              <w:t>员工代表是——</w:t>
            </w:r>
            <w:r>
              <w:rPr>
                <w:rFonts w:hint="eastAsia"/>
                <w:lang w:val="en-US" w:eastAsia="zh-CN"/>
              </w:rPr>
              <w:t>张洁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rFonts w:hint="eastAsia" w:eastAsia="宋体"/>
              </w:rPr>
            </w:pPr>
            <w:r>
              <w:rPr>
                <w:rFonts w:hint="eastAsia" w:eastAsia="宋体"/>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rPr>
                      <w:rFonts w:hint="eastAsia" w:eastAsia="宋体"/>
                    </w:rPr>
                  </w:pPr>
                  <w:r>
                    <w:rPr>
                      <w:rFonts w:hint="eastAsia" w:eastAsia="宋体"/>
                    </w:rPr>
                    <w:t>主要的风险或机遇描述</w:t>
                  </w:r>
                </w:p>
              </w:tc>
              <w:tc>
                <w:tcPr>
                  <w:tcW w:w="4518" w:type="dxa"/>
                </w:tcPr>
                <w:p>
                  <w:pPr>
                    <w:rPr>
                      <w:rFonts w:hint="eastAsia" w:eastAsia="宋体"/>
                    </w:rPr>
                  </w:pPr>
                  <w:r>
                    <w:rPr>
                      <w:rFonts w:hint="eastAsia" w:eastAsia="宋体"/>
                    </w:rPr>
                    <w:t>应对措施</w:t>
                  </w:r>
                </w:p>
              </w:tc>
              <w:tc>
                <w:tcPr>
                  <w:tcW w:w="1717" w:type="dxa"/>
                </w:tcPr>
                <w:p>
                  <w:pPr>
                    <w:rPr>
                      <w:rFonts w:hint="eastAsia" w:eastAsia="宋体"/>
                    </w:rPr>
                  </w:pPr>
                  <w:r>
                    <w:rPr>
                      <w:rFonts w:hint="eastAsia" w:eastAsia="宋体"/>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eastAsia="宋体"/>
                      <w:lang w:val="en-US" w:eastAsia="zh-CN"/>
                    </w:rPr>
                  </w:pPr>
                  <w:r>
                    <w:rPr>
                      <w:rFonts w:hint="eastAsia" w:eastAsia="宋体"/>
                      <w:lang w:val="en-US" w:eastAsia="zh-CN"/>
                    </w:rPr>
                    <w:t>潜在火灾</w:t>
                  </w:r>
                </w:p>
              </w:tc>
              <w:tc>
                <w:tcPr>
                  <w:tcW w:w="4518" w:type="dxa"/>
                </w:tcPr>
                <w:p>
                  <w:pPr>
                    <w:rPr>
                      <w:rFonts w:hint="eastAsia" w:eastAsia="宋体"/>
                      <w:lang w:val="en-US" w:eastAsia="zh-CN"/>
                    </w:rPr>
                  </w:pPr>
                  <w:r>
                    <w:rPr>
                      <w:rFonts w:hint="eastAsia" w:eastAsia="宋体"/>
                      <w:lang w:val="en-US" w:eastAsia="zh-CN"/>
                    </w:rPr>
                    <w:t>通过管理方案和预案措施、应急演练进行管理</w:t>
                  </w:r>
                </w:p>
              </w:tc>
              <w:tc>
                <w:tcPr>
                  <w:tcW w:w="1717" w:type="dxa"/>
                </w:tcPr>
                <w:p>
                  <w:pPr>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eastAsia="宋体"/>
                      <w:lang w:val="en-US" w:eastAsia="zh-CN"/>
                    </w:rPr>
                  </w:pPr>
                  <w:r>
                    <w:rPr>
                      <w:rFonts w:hint="eastAsia" w:eastAsia="宋体"/>
                      <w:lang w:val="en-US" w:eastAsia="zh-CN"/>
                    </w:rPr>
                    <w:t>触电</w:t>
                  </w:r>
                </w:p>
              </w:tc>
              <w:tc>
                <w:tcPr>
                  <w:tcW w:w="4518" w:type="dxa"/>
                </w:tcPr>
                <w:p>
                  <w:pPr>
                    <w:rPr>
                      <w:rFonts w:hint="eastAsia" w:eastAsia="宋体"/>
                      <w:lang w:val="en-US" w:eastAsia="zh-CN"/>
                    </w:rPr>
                  </w:pPr>
                  <w:r>
                    <w:rPr>
                      <w:rFonts w:hint="eastAsia" w:eastAsia="宋体"/>
                      <w:lang w:val="en-US" w:eastAsia="zh-CN"/>
                    </w:rPr>
                    <w:t>通过管理方案进行管理</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eastAsia="宋体"/>
                      <w:lang w:val="en-US" w:eastAsia="zh-CN"/>
                    </w:rPr>
                  </w:pPr>
                  <w:r>
                    <w:rPr>
                      <w:rFonts w:hint="eastAsia"/>
                      <w:lang w:val="en-US" w:eastAsia="zh-CN"/>
                    </w:rPr>
                    <w:t>中暑</w:t>
                  </w:r>
                </w:p>
              </w:tc>
              <w:tc>
                <w:tcPr>
                  <w:tcW w:w="4518" w:type="dxa"/>
                </w:tcPr>
                <w:p>
                  <w:pPr>
                    <w:rPr>
                      <w:rFonts w:hint="eastAsia" w:eastAsia="宋体"/>
                      <w:lang w:val="en-US" w:eastAsia="zh-CN"/>
                    </w:rPr>
                  </w:pPr>
                  <w:r>
                    <w:rPr>
                      <w:rFonts w:hint="eastAsia" w:eastAsia="宋体"/>
                      <w:lang w:val="en-US" w:eastAsia="zh-CN"/>
                    </w:rPr>
                    <w:t>通过管理方案进行管理</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eastAsia="宋体"/>
                      <w:lang w:eastAsia="zh-CN"/>
                    </w:rPr>
                  </w:pPr>
                </w:p>
              </w:tc>
              <w:tc>
                <w:tcPr>
                  <w:tcW w:w="4518" w:type="dxa"/>
                  <w:vAlign w:val="top"/>
                </w:tcPr>
                <w:p>
                  <w:pPr>
                    <w:rPr>
                      <w:rFonts w:hint="eastAsia" w:eastAsia="宋体"/>
                      <w:lang w:val="en-US" w:eastAsia="zh-CN"/>
                    </w:rPr>
                  </w:pPr>
                </w:p>
              </w:tc>
              <w:tc>
                <w:tcPr>
                  <w:tcW w:w="1717" w:type="dxa"/>
                  <w:vAlign w:val="top"/>
                </w:tcPr>
                <w:p>
                  <w:pPr>
                    <w:rPr>
                      <w:rFonts w:hint="eastAsia" w:eastAsia="宋体"/>
                      <w:lang w:val="en-US" w:eastAsia="zh-CN"/>
                    </w:rPr>
                  </w:pPr>
                </w:p>
              </w:tc>
            </w:tr>
          </w:tbl>
          <w:p>
            <w:pPr>
              <w:rPr>
                <w:rFonts w:hint="eastAsia"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rPr>
              <w:t xml:space="preserve"> </w:t>
            </w:r>
            <w:r>
              <w:rPr>
                <w:rFonts w:hint="eastAsia" w:ascii="宋体" w:hAnsi="宋体" w:eastAsia="宋体" w:cs="宋体"/>
              </w:rPr>
              <w:t>■</w:t>
            </w:r>
            <w:r>
              <w:rPr>
                <w:rFonts w:hint="eastAsia"/>
                <w:highlight w:val="none"/>
              </w:rPr>
              <w:t>其他</w:t>
            </w:r>
            <w:r>
              <w:rPr>
                <w:rFonts w:hint="eastAsia"/>
                <w:highlight w:val="none"/>
                <w:lang w:eastAsia="zh-CN"/>
              </w:rPr>
              <w:t>：</w:t>
            </w:r>
            <w:r>
              <w:rPr>
                <w:rFonts w:hint="eastAsia"/>
                <w:highlight w:val="none"/>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3555"/>
              <w:gridCol w:w="124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555" w:type="dxa"/>
                  <w:shd w:val="clear" w:color="auto" w:fill="auto"/>
                </w:tcPr>
                <w:p>
                  <w:pPr>
                    <w:rPr>
                      <w:rFonts w:ascii="宋体" w:hAnsi="宋体"/>
                      <w:highlight w:val="none"/>
                    </w:rPr>
                  </w:pPr>
                  <w:r>
                    <w:rPr>
                      <w:rFonts w:hint="eastAsia" w:ascii="宋体" w:hAnsi="宋体"/>
                      <w:highlight w:val="none"/>
                    </w:rPr>
                    <w:t>控制措施</w:t>
                  </w:r>
                </w:p>
              </w:tc>
              <w:tc>
                <w:tcPr>
                  <w:tcW w:w="1245"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pStyle w:val="26"/>
                    <w:keepNext w:val="0"/>
                    <w:keepLines w:val="0"/>
                    <w:pageBreakBefore w:val="0"/>
                    <w:widowControl w:val="0"/>
                    <w:numPr>
                      <w:numId w:val="0"/>
                    </w:numPr>
                    <w:kinsoku w:val="0"/>
                    <w:wordWrap/>
                    <w:overflowPunct w:val="0"/>
                    <w:topLinePunct w:val="0"/>
                    <w:autoSpaceDE/>
                    <w:autoSpaceDN/>
                    <w:bidi w:val="0"/>
                    <w:adjustRightInd/>
                    <w:snapToGrid/>
                    <w:spacing w:line="420" w:lineRule="exac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 w:val="21"/>
                      <w:szCs w:val="21"/>
                    </w:rPr>
                    <w:t>火灾发生率为零；</w:t>
                  </w:r>
                </w:p>
              </w:tc>
              <w:tc>
                <w:tcPr>
                  <w:tcW w:w="3555" w:type="dxa"/>
                  <w:shd w:val="clear" w:color="auto" w:fill="auto"/>
                  <w:vAlign w:val="center"/>
                </w:tcPr>
                <w:p>
                  <w:pPr>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通过管理方案和预案措施、应急演练进行管理</w:t>
                  </w:r>
                </w:p>
              </w:tc>
              <w:tc>
                <w:tcPr>
                  <w:tcW w:w="1245"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宋体" w:hAnsi="宋体" w:eastAsia="宋体" w:cs="宋体"/>
                      <w:color w:val="auto"/>
                      <w:sz w:val="21"/>
                      <w:szCs w:val="21"/>
                    </w:rPr>
                    <w:t>中暑发生率为零</w:t>
                  </w:r>
                </w:p>
              </w:tc>
              <w:tc>
                <w:tcPr>
                  <w:tcW w:w="3555"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通过管理方案和预案措施进行管理</w:t>
                  </w:r>
                </w:p>
              </w:tc>
              <w:tc>
                <w:tcPr>
                  <w:tcW w:w="1245"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行政部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rPr>
                      <w:rFonts w:hint="eastAsia" w:ascii="Times New Roman" w:hAnsi="Times New Roman" w:eastAsia="宋体" w:cs="Times New Roman"/>
                      <w:highlight w:val="none"/>
                      <w:lang w:val="en-US" w:eastAsia="zh-CN"/>
                    </w:rPr>
                  </w:pPr>
                  <w:r>
                    <w:rPr>
                      <w:rFonts w:hint="eastAsia"/>
                      <w:color w:val="auto"/>
                      <w:szCs w:val="21"/>
                    </w:rPr>
                    <w:t xml:space="preserve">交通事故控制全公司不超过1次/年；          </w:t>
                  </w:r>
                  <w:r>
                    <w:rPr>
                      <w:rFonts w:hint="eastAsia"/>
                      <w:color w:val="auto"/>
                      <w:szCs w:val="21"/>
                      <w:lang w:val="en-US" w:eastAsia="zh-CN"/>
                    </w:rPr>
                    <w:t xml:space="preserve">       </w:t>
                  </w:r>
                  <w:r>
                    <w:rPr>
                      <w:rFonts w:hint="eastAsia"/>
                      <w:color w:val="auto"/>
                      <w:szCs w:val="21"/>
                    </w:rPr>
                    <w:t xml:space="preserve"> 零</w:t>
                  </w:r>
                </w:p>
              </w:tc>
              <w:tc>
                <w:tcPr>
                  <w:tcW w:w="3555"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通过管理方案和预案措施进行管理</w:t>
                  </w:r>
                </w:p>
              </w:tc>
              <w:tc>
                <w:tcPr>
                  <w:tcW w:w="1245"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供销</w:t>
                  </w:r>
                  <w:r>
                    <w:rPr>
                      <w:rFonts w:hint="eastAsia" w:ascii="宋体" w:hAnsi="宋体" w:eastAsia="宋体"/>
                      <w:highlight w:val="none"/>
                      <w:lang w:val="en-US" w:eastAsia="zh-CN"/>
                    </w:rPr>
                    <w:t>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Times New Roman"/>
                      <w:kern w:val="2"/>
                      <w:sz w:val="21"/>
                      <w:szCs w:val="24"/>
                      <w:lang w:val="en-US" w:eastAsia="zh-CN" w:bidi="ar-SA"/>
                    </w:rPr>
                  </w:pPr>
                </w:p>
              </w:tc>
              <w:tc>
                <w:tcPr>
                  <w:tcW w:w="3555"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245"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rPr>
                      <w:rFonts w:hint="eastAsia" w:ascii="宋体" w:hAnsi="宋体" w:eastAsia="宋体" w:cs="Times New Roman"/>
                      <w:kern w:val="2"/>
                      <w:sz w:val="21"/>
                      <w:szCs w:val="24"/>
                      <w:lang w:val="en-US" w:eastAsia="zh-CN" w:bidi="ar-SA"/>
                    </w:rPr>
                  </w:pPr>
                </w:p>
              </w:tc>
              <w:tc>
                <w:tcPr>
                  <w:tcW w:w="3555"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245"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rPr>
              <w:t>组</w:t>
            </w:r>
            <w:r>
              <w:rPr>
                <w:rFonts w:hint="eastAsia" w:eastAsia="宋体"/>
              </w:rPr>
              <w:t>织应确定、提供并维护所需的基础设施情况：</w:t>
            </w:r>
          </w:p>
          <w:p>
            <w:pPr>
              <w:rPr>
                <w:rFonts w:hint="eastAsia" w:eastAsia="宋体"/>
              </w:rPr>
            </w:pPr>
            <w:r>
              <w:rPr>
                <w:rFonts w:hint="eastAsia" w:eastAsia="宋体"/>
                <w:lang w:val="en-US" w:eastAsia="zh-CN"/>
              </w:rPr>
              <w:t xml:space="preserve">办公区域面积 </w:t>
            </w:r>
            <w:r>
              <w:rPr>
                <w:rFonts w:hint="eastAsia" w:eastAsia="宋体"/>
                <w:u w:val="single"/>
                <w:lang w:val="en-US" w:eastAsia="zh-CN"/>
              </w:rPr>
              <w:t>500</w:t>
            </w:r>
            <w:r>
              <w:rPr>
                <w:rFonts w:hint="eastAsia" w:eastAsia="宋体"/>
                <w:u w:val="single"/>
              </w:rPr>
              <w:t xml:space="preserve"> </w:t>
            </w:r>
            <w:r>
              <w:rPr>
                <w:rFonts w:hint="eastAsia" w:eastAsia="宋体"/>
              </w:rPr>
              <w:t>平方米；</w:t>
            </w:r>
            <w:r>
              <w:rPr>
                <w:rFonts w:hint="eastAsia" w:eastAsia="宋体"/>
                <w:lang w:val="en-US" w:eastAsia="zh-CN"/>
              </w:rPr>
              <w:t>办公场所</w:t>
            </w:r>
            <w:r>
              <w:rPr>
                <w:rFonts w:hint="eastAsia" w:eastAsia="宋体"/>
              </w:rPr>
              <w:t xml:space="preserve"> </w:t>
            </w:r>
            <w:r>
              <w:rPr>
                <w:rFonts w:hint="eastAsia" w:eastAsia="宋体"/>
                <w:u w:val="single"/>
                <w:lang w:val="en-US" w:eastAsia="zh-CN"/>
              </w:rPr>
              <w:t>1</w:t>
            </w:r>
            <w:r>
              <w:rPr>
                <w:rFonts w:hint="eastAsia" w:eastAsia="宋体"/>
                <w:u w:val="single"/>
              </w:rPr>
              <w:t xml:space="preserve"> </w:t>
            </w:r>
            <w:r>
              <w:rPr>
                <w:rFonts w:hint="eastAsia" w:eastAsia="宋体"/>
              </w:rPr>
              <w:t>个；</w:t>
            </w:r>
            <w:r>
              <w:rPr>
                <w:rFonts w:hint="eastAsia" w:eastAsia="宋体"/>
                <w:lang w:val="en-US" w:eastAsia="zh-CN"/>
              </w:rPr>
              <w:t xml:space="preserve">库房 </w:t>
            </w:r>
            <w:r>
              <w:rPr>
                <w:rFonts w:hint="eastAsia" w:eastAsia="宋体"/>
                <w:u w:val="single"/>
                <w:lang w:val="en-US" w:eastAsia="zh-CN"/>
              </w:rPr>
              <w:t xml:space="preserve"> 1</w:t>
            </w:r>
            <w:r>
              <w:rPr>
                <w:rFonts w:hint="eastAsia" w:eastAsia="宋体"/>
                <w:lang w:val="en-US" w:eastAsia="zh-CN"/>
              </w:rPr>
              <w:t xml:space="preserve">个； </w:t>
            </w:r>
            <w:r>
              <w:rPr>
                <w:rFonts w:hint="eastAsia" w:eastAsia="宋体"/>
                <w:lang w:eastAsia="zh-CN"/>
              </w:rPr>
              <w:t>临时</w:t>
            </w:r>
            <w:r>
              <w:rPr>
                <w:rFonts w:hint="eastAsia" w:eastAsia="宋体"/>
                <w:lang w:val="en-US" w:eastAsia="zh-CN"/>
              </w:rPr>
              <w:t>场所</w:t>
            </w:r>
            <w:r>
              <w:rPr>
                <w:rFonts w:hint="eastAsia" w:eastAsia="宋体"/>
              </w:rPr>
              <w:t xml:space="preserve">  </w:t>
            </w:r>
            <w:r>
              <w:rPr>
                <w:rFonts w:hint="eastAsia" w:eastAsia="宋体"/>
                <w:lang w:val="en-US" w:eastAsia="zh-CN"/>
              </w:rPr>
              <w:t xml:space="preserve"> </w:t>
            </w:r>
            <w:r>
              <w:rPr>
                <w:rFonts w:hint="eastAsia" w:eastAsia="宋体"/>
              </w:rPr>
              <w:t xml:space="preserve">  个；实验室   个；</w:t>
            </w:r>
          </w:p>
          <w:p>
            <w:pPr>
              <w:rPr>
                <w:rFonts w:hint="eastAsia" w:eastAsia="宋体"/>
                <w:lang w:eastAsia="zh-CN"/>
              </w:rPr>
            </w:pPr>
            <w:r>
              <w:rPr>
                <w:rFonts w:hint="eastAsia" w:eastAsia="宋体"/>
              </w:rPr>
              <w:t>主要生产设备有：</w:t>
            </w:r>
            <w:r>
              <w:rPr>
                <w:rFonts w:hint="eastAsia" w:eastAsia="宋体"/>
                <w:u w:val="single"/>
                <w:lang w:eastAsia="zh-CN"/>
              </w:rPr>
              <w:t>办公设备、电脑、打印机、</w:t>
            </w:r>
            <w:r>
              <w:rPr>
                <w:rFonts w:hint="eastAsia" w:eastAsia="宋体"/>
                <w:u w:val="single"/>
                <w:lang w:val="en-US" w:eastAsia="zh-CN"/>
              </w:rPr>
              <w:t>编程软件、测试装置</w:t>
            </w:r>
            <w:r>
              <w:rPr>
                <w:rFonts w:hint="eastAsia" w:eastAsia="宋体"/>
                <w:u w:val="single"/>
                <w:lang w:eastAsia="zh-CN"/>
              </w:rPr>
              <w:t>等</w:t>
            </w:r>
            <w:r>
              <w:rPr>
                <w:rFonts w:hint="eastAsia" w:eastAsia="宋体"/>
                <w:lang w:eastAsia="zh-CN"/>
              </w:rPr>
              <w:t>。</w:t>
            </w:r>
          </w:p>
          <w:p>
            <w:pPr>
              <w:rPr>
                <w:rFonts w:hint="eastAsia" w:eastAsia="宋体"/>
              </w:rPr>
            </w:pPr>
            <w:r>
              <w:rPr>
                <w:rFonts w:hint="eastAsia" w:eastAsia="宋体"/>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宋体" w:hAnsi="宋体" w:eastAsia="宋体" w:cs="宋体"/>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□电工 □焊工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eastAsia="宋体"/>
                      <w:lang w:val="en-US" w:eastAsia="zh-CN"/>
                    </w:rPr>
                  </w:pPr>
                  <w:r>
                    <w:rPr>
                      <w:rFonts w:hint="eastAsia"/>
                      <w:lang w:val="en-US" w:eastAsia="zh-CN"/>
                    </w:rPr>
                    <w:t>中暑</w:t>
                  </w:r>
                </w:p>
              </w:tc>
              <w:tc>
                <w:tcPr>
                  <w:tcW w:w="4957" w:type="dxa"/>
                </w:tcPr>
                <w:p>
                  <w:pPr>
                    <w:jc w:val="left"/>
                  </w:pPr>
                  <w:r>
                    <w:rPr>
                      <w:rFonts w:hint="eastAsia"/>
                    </w:rPr>
                    <w:t xml:space="preserve">□减少作业时间  □空间隔离  </w:t>
                  </w:r>
                  <w:r>
                    <w:rPr>
                      <w:rFonts w:hint="eastAsia" w:ascii="宋体" w:hAnsi="宋体" w:eastAsia="宋体" w:cs="宋体"/>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cs="Times New Roman"/>
                <w:color w:val="000000"/>
                <w:highlight w:val="none"/>
                <w:u w:val="single"/>
                <w:lang w:eastAsia="zh-CN"/>
              </w:rPr>
              <w:t>2021年8月5日</w:t>
            </w:r>
            <w:r>
              <w:rPr>
                <w:rFonts w:hint="eastAsia" w:ascii="Times New Roman" w:hAnsi="Times New Roman" w:cs="Times New Roman"/>
                <w:color w:val="000000"/>
                <w:highlight w:val="none"/>
                <w:u w:val="single"/>
                <w:lang w:eastAsia="zh-CN"/>
              </w:rPr>
              <w:t>进行的消防应急预案演练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2021年7月10日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2021年11月10日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2021年11月25日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F0561B"/>
    <w:rsid w:val="260C2C36"/>
    <w:rsid w:val="280E131C"/>
    <w:rsid w:val="2CAE1AB3"/>
    <w:rsid w:val="6EB64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Table Paragraph"/>
    <w:basedOn w:val="1"/>
    <w:unhideWhenUsed/>
    <w:qFormat/>
    <w:uiPriority w:val="1"/>
    <w:rPr>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2021-12-23T06:22:50Z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