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07" w:rsidRDefault="00AC4EA6">
      <w:pPr>
        <w:spacing w:line="300" w:lineRule="auto"/>
        <w:rPr>
          <w:rFonts w:ascii="宋体"/>
          <w:b/>
          <w:sz w:val="24"/>
        </w:rPr>
      </w:pPr>
      <w:r>
        <w:rPr>
          <w:rFonts w:ascii="宋体" w:hAnsi="宋体" w:hint="eastAsia"/>
          <w:sz w:val="24"/>
        </w:rPr>
        <w:t>附录A：</w:t>
      </w:r>
    </w:p>
    <w:p w:rsidR="00406007" w:rsidRDefault="00AC4EA6">
      <w:pPr>
        <w:spacing w:line="300" w:lineRule="auto"/>
        <w:jc w:val="center"/>
        <w:rPr>
          <w:rFonts w:ascii="宋体"/>
          <w:b/>
          <w:sz w:val="30"/>
          <w:szCs w:val="30"/>
        </w:rPr>
      </w:pPr>
      <w:bookmarkStart w:id="0" w:name="_Hlk481510037"/>
      <w:r>
        <w:rPr>
          <w:rFonts w:ascii="宋体" w:hAnsi="宋体" w:hint="eastAsia"/>
          <w:b/>
          <w:sz w:val="30"/>
          <w:szCs w:val="30"/>
        </w:rPr>
        <w:t>聚丙烯定量包装净含量测量过程不确定度的评定</w:t>
      </w:r>
      <w:bookmarkEnd w:id="0"/>
    </w:p>
    <w:p w:rsidR="00406007" w:rsidRDefault="00AC4EA6">
      <w:pPr>
        <w:spacing w:line="300" w:lineRule="auto"/>
        <w:ind w:firstLineChars="200" w:firstLine="420"/>
        <w:jc w:val="left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一、概述</w:t>
      </w:r>
    </w:p>
    <w:p w:rsidR="00406007" w:rsidRDefault="00AC4EA6">
      <w:pPr>
        <w:spacing w:line="300" w:lineRule="auto"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theme="minorEastAsia" w:hint="eastAsia"/>
          <w:szCs w:val="21"/>
        </w:rPr>
        <w:t>1</w:t>
      </w:r>
      <w:r>
        <w:rPr>
          <w:rFonts w:ascii="宋体" w:hAnsi="宋体" w:cstheme="minorEastAsia"/>
          <w:szCs w:val="21"/>
        </w:rPr>
        <w:t>.1</w:t>
      </w:r>
      <w:r>
        <w:rPr>
          <w:rFonts w:ascii="宋体" w:hAnsi="宋体" w:cstheme="minorEastAsia" w:hint="eastAsia"/>
          <w:szCs w:val="21"/>
        </w:rPr>
        <w:t>测量标准：根据《定量包装商品计量监督管理办法》（2005年75</w:t>
      </w:r>
      <w:r w:rsidR="00E10B30">
        <w:rPr>
          <w:rFonts w:ascii="宋体" w:hAnsi="宋体" w:cstheme="minorEastAsia" w:hint="eastAsia"/>
          <w:szCs w:val="21"/>
        </w:rPr>
        <w:t>号公告），</w:t>
      </w:r>
      <w:r>
        <w:rPr>
          <w:rFonts w:ascii="宋体" w:hAnsi="宋体" w:cstheme="minorEastAsia" w:hint="eastAsia"/>
          <w:szCs w:val="21"/>
        </w:rPr>
        <w:t>JJF 1070-2005</w:t>
      </w:r>
      <w:r w:rsidR="00E10B30">
        <w:rPr>
          <w:rFonts w:ascii="宋体" w:hAnsi="宋体" w:cs="宋体" w:hint="eastAsia"/>
          <w:szCs w:val="21"/>
        </w:rPr>
        <w:t>《定量包装商品净含量计量检验规程》</w:t>
      </w:r>
      <w:r>
        <w:rPr>
          <w:rFonts w:ascii="宋体" w:hAnsi="宋体" w:cstheme="minorEastAsia" w:hint="eastAsia"/>
          <w:szCs w:val="21"/>
        </w:rPr>
        <w:t>。</w:t>
      </w:r>
      <w:bookmarkStart w:id="1" w:name="_GoBack"/>
      <w:bookmarkEnd w:id="1"/>
      <w:r w:rsidR="00E10B30">
        <w:rPr>
          <w:rFonts w:ascii="宋体" w:hAnsi="宋体" w:hint="eastAsia"/>
          <w:kern w:val="0"/>
        </w:rPr>
        <w:t>按照</w:t>
      </w:r>
      <w:r w:rsidR="00E10B30">
        <w:rPr>
          <w:rFonts w:ascii="宋体" w:hAnsi="宋体" w:hint="eastAsia"/>
        </w:rPr>
        <w:t>公司</w:t>
      </w:r>
      <w:r w:rsidR="00E10B30">
        <w:rPr>
          <w:rFonts w:ascii="宋体" w:hAnsi="宋体" w:cs="宋体"/>
        </w:rPr>
        <w:t>Q/SY NH 0304-2021</w:t>
      </w:r>
      <w:r w:rsidR="00E10B30">
        <w:rPr>
          <w:rFonts w:ascii="宋体" w:hAnsi="宋体" w:cs="宋体" w:hint="eastAsia"/>
        </w:rPr>
        <w:t>《</w:t>
      </w:r>
      <w:r w:rsidR="00E10B30">
        <w:rPr>
          <w:rFonts w:ascii="宋体" w:hAnsi="宋体" w:cs="宋体"/>
        </w:rPr>
        <w:t>10</w:t>
      </w:r>
      <w:r w:rsidR="00E10B30">
        <w:rPr>
          <w:rFonts w:ascii="宋体" w:hAnsi="宋体" w:cs="宋体" w:hint="eastAsia"/>
        </w:rPr>
        <w:t>万吨</w:t>
      </w:r>
      <w:r w:rsidR="00E10B30">
        <w:rPr>
          <w:rFonts w:ascii="宋体" w:hAnsi="宋体" w:cs="宋体"/>
        </w:rPr>
        <w:t>/</w:t>
      </w:r>
      <w:r w:rsidR="00E10B30">
        <w:rPr>
          <w:rFonts w:ascii="宋体" w:hAnsi="宋体" w:cs="宋体" w:hint="eastAsia"/>
        </w:rPr>
        <w:t>年聚丙烯操作规程》。</w:t>
      </w:r>
      <w:r w:rsidR="00E10B30">
        <w:rPr>
          <w:rFonts w:ascii="宋体" w:hAnsi="宋体" w:cs="宋体" w:hint="eastAsia"/>
          <w:kern w:val="0"/>
        </w:rPr>
        <w:t>自动定量包装机使用说明书</w:t>
      </w:r>
      <w:r w:rsidR="00E10B30">
        <w:rPr>
          <w:rFonts w:ascii="宋体" w:hAnsi="宋体" w:hint="eastAsia"/>
        </w:rPr>
        <w:t>，以及</w:t>
      </w:r>
      <w:r w:rsidR="00E10B30">
        <w:rPr>
          <w:rFonts w:ascii="宋体" w:hAnsi="宋体" w:cs="宋体" w:hint="eastAsia"/>
          <w:kern w:val="0"/>
        </w:rPr>
        <w:t>《宁夏石化公司计量管理规定》</w:t>
      </w:r>
      <w:r>
        <w:rPr>
          <w:rFonts w:hAnsi="宋体" w:hint="eastAsia"/>
          <w:szCs w:val="21"/>
        </w:rPr>
        <w:t>，每包最大误差控制在小于</w:t>
      </w:r>
      <w:r w:rsidR="00E10B30"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50</w:t>
      </w:r>
      <w:r>
        <w:rPr>
          <w:rFonts w:hAnsi="宋体" w:hint="eastAsia"/>
          <w:szCs w:val="21"/>
        </w:rPr>
        <w:t>克内。</w:t>
      </w:r>
    </w:p>
    <w:p w:rsidR="00406007" w:rsidRDefault="00AC4EA6">
      <w:pPr>
        <w:spacing w:line="300" w:lineRule="auto"/>
        <w:ind w:firstLineChars="200" w:firstLine="420"/>
        <w:jc w:val="left"/>
        <w:rPr>
          <w:rFonts w:ascii="宋体" w:hAnsi="宋体" w:cstheme="minorEastAsia"/>
          <w:szCs w:val="21"/>
        </w:rPr>
      </w:pPr>
      <w:r>
        <w:rPr>
          <w:rFonts w:ascii="宋体" w:hAnsi="宋体" w:hint="eastAsia"/>
          <w:kern w:val="0"/>
        </w:rPr>
        <w:t>1</w:t>
      </w:r>
      <w:r>
        <w:rPr>
          <w:rFonts w:ascii="宋体" w:hAnsi="宋体"/>
          <w:kern w:val="0"/>
        </w:rPr>
        <w:t>.2</w:t>
      </w:r>
      <w:r>
        <w:rPr>
          <w:rFonts w:ascii="宋体" w:hAnsi="宋体" w:hint="eastAsia"/>
          <w:kern w:val="0"/>
        </w:rPr>
        <w:t>测量方法：采用电子灌装秤直接对聚丙烯成品进行测量。</w:t>
      </w:r>
    </w:p>
    <w:p w:rsidR="00406007" w:rsidRDefault="00AC4EA6">
      <w:pPr>
        <w:spacing w:line="300" w:lineRule="auto"/>
        <w:ind w:firstLineChars="200" w:firstLine="420"/>
        <w:jc w:val="left"/>
        <w:rPr>
          <w:rFonts w:ascii="宋体" w:hAnsi="宋体" w:cstheme="minorEastAsia"/>
          <w:szCs w:val="21"/>
        </w:rPr>
      </w:pPr>
      <w:r>
        <w:rPr>
          <w:rFonts w:ascii="宋体" w:hAnsi="宋体" w:cstheme="minorEastAsia"/>
          <w:szCs w:val="21"/>
        </w:rPr>
        <w:t>1.3</w:t>
      </w:r>
      <w:r>
        <w:rPr>
          <w:rFonts w:ascii="宋体" w:hAnsi="宋体" w:cstheme="minorEastAsia" w:hint="eastAsia"/>
          <w:szCs w:val="21"/>
        </w:rPr>
        <w:t>测量设备：电子</w:t>
      </w:r>
      <w:r>
        <w:rPr>
          <w:rFonts w:ascii="宋体" w:hAnsi="宋体" w:hint="eastAsia"/>
          <w:kern w:val="0"/>
        </w:rPr>
        <w:t>灌装</w:t>
      </w:r>
      <w:r>
        <w:rPr>
          <w:rFonts w:ascii="宋体" w:hAnsi="宋体" w:cstheme="minorEastAsia" w:hint="eastAsia"/>
          <w:szCs w:val="21"/>
        </w:rPr>
        <w:t>秤测量范围：（0～25）k</w:t>
      </w:r>
      <w:r>
        <w:rPr>
          <w:rFonts w:ascii="宋体" w:hAnsi="宋体" w:cstheme="minorEastAsia"/>
          <w:szCs w:val="21"/>
        </w:rPr>
        <w:t>g ,</w:t>
      </w:r>
      <w:r>
        <w:rPr>
          <w:rFonts w:ascii="宋体" w:hAnsi="宋体" w:cstheme="minorEastAsia" w:hint="eastAsia"/>
          <w:szCs w:val="21"/>
        </w:rPr>
        <w:t>最大允许误差±15</w:t>
      </w:r>
      <w:r>
        <w:rPr>
          <w:rFonts w:ascii="宋体" w:hAnsi="宋体" w:cstheme="minorEastAsia"/>
          <w:szCs w:val="21"/>
        </w:rPr>
        <w:t xml:space="preserve">g </w:t>
      </w:r>
      <w:r>
        <w:rPr>
          <w:rFonts w:ascii="宋体" w:hAnsi="宋体" w:cstheme="minorEastAsia" w:hint="eastAsia"/>
          <w:szCs w:val="21"/>
        </w:rPr>
        <w:t>，分辨率</w:t>
      </w:r>
      <w:r>
        <w:rPr>
          <w:rFonts w:ascii="宋体" w:hAnsi="宋体" w:cstheme="minorEastAsia"/>
          <w:szCs w:val="21"/>
        </w:rPr>
        <w:t>e</w:t>
      </w:r>
      <w:r>
        <w:rPr>
          <w:rFonts w:ascii="宋体" w:hAnsi="宋体" w:cstheme="minorEastAsia" w:hint="eastAsia"/>
          <w:szCs w:val="21"/>
        </w:rPr>
        <w:t>=10g</w:t>
      </w:r>
    </w:p>
    <w:p w:rsidR="00406007" w:rsidRDefault="00AC4EA6">
      <w:pPr>
        <w:spacing w:line="300" w:lineRule="auto"/>
        <w:ind w:firstLineChars="200" w:firstLine="420"/>
        <w:jc w:val="left"/>
        <w:rPr>
          <w:rFonts w:ascii="宋体" w:hAnsi="宋体" w:cstheme="minorEastAsia"/>
          <w:szCs w:val="21"/>
        </w:rPr>
      </w:pPr>
      <w:r>
        <w:rPr>
          <w:rFonts w:ascii="宋体" w:hAnsi="宋体" w:cstheme="minorEastAsia"/>
          <w:szCs w:val="21"/>
        </w:rPr>
        <w:t>1.4</w:t>
      </w:r>
      <w:r>
        <w:rPr>
          <w:rFonts w:ascii="宋体" w:hAnsi="宋体" w:cstheme="minorEastAsia" w:hint="eastAsia"/>
          <w:szCs w:val="21"/>
        </w:rPr>
        <w:t>测量的环境条件：</w:t>
      </w:r>
      <w:r>
        <w:rPr>
          <w:rFonts w:ascii="宋体" w:hAnsi="宋体" w:hint="eastAsia"/>
          <w:szCs w:val="21"/>
        </w:rPr>
        <w:t>-10℃～60℃</w:t>
      </w:r>
    </w:p>
    <w:p w:rsidR="00406007" w:rsidRDefault="00AC4EA6">
      <w:pPr>
        <w:spacing w:line="300" w:lineRule="auto"/>
        <w:ind w:firstLineChars="200" w:firstLine="420"/>
        <w:jc w:val="left"/>
        <w:rPr>
          <w:rFonts w:ascii="宋体" w:hAnsi="宋体" w:cstheme="minorEastAsia"/>
          <w:szCs w:val="21"/>
        </w:rPr>
      </w:pPr>
      <w:r>
        <w:rPr>
          <w:rFonts w:ascii="宋体" w:hAnsi="宋体" w:cstheme="minorEastAsia"/>
          <w:szCs w:val="21"/>
        </w:rPr>
        <w:t>1.5</w:t>
      </w:r>
      <w:r>
        <w:rPr>
          <w:rFonts w:ascii="宋体" w:hAnsi="宋体" w:cstheme="minorEastAsia" w:hint="eastAsia"/>
          <w:szCs w:val="21"/>
        </w:rPr>
        <w:t>被测对象：标注净含量2</w:t>
      </w:r>
      <w:r>
        <w:rPr>
          <w:rFonts w:ascii="宋体" w:hAnsi="宋体" w:cstheme="minorEastAsia"/>
          <w:szCs w:val="21"/>
        </w:rPr>
        <w:t>5kg</w:t>
      </w:r>
      <w:r>
        <w:rPr>
          <w:rFonts w:ascii="宋体" w:hAnsi="宋体" w:cstheme="minorEastAsia" w:hint="eastAsia"/>
          <w:szCs w:val="21"/>
        </w:rPr>
        <w:t xml:space="preserve">的聚丙烯产品 </w:t>
      </w:r>
      <w:r>
        <w:rPr>
          <w:rFonts w:ascii="宋体" w:hAnsi="宋体" w:cstheme="minorEastAsia"/>
          <w:szCs w:val="21"/>
        </w:rPr>
        <w:t xml:space="preserve">   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二、聚丙烯包装抽样称重检测结果的数学模型：</w:t>
      </w:r>
    </w:p>
    <w:p w:rsidR="00406007" w:rsidRDefault="00AC4EA6">
      <w:pPr>
        <w:spacing w:line="324" w:lineRule="auto"/>
        <w:ind w:left="422"/>
        <w:jc w:val="left"/>
        <w:rPr>
          <w:rFonts w:ascii="宋体" w:hAnsi="宋体" w:cstheme="minorEastAsia"/>
          <w:szCs w:val="21"/>
        </w:rPr>
      </w:pPr>
      <w:r>
        <w:rPr>
          <w:rFonts w:ascii="宋体" w:hAnsi="宋体" w:cstheme="minorEastAsia"/>
          <w:szCs w:val="21"/>
        </w:rPr>
        <w:t>y=x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式中：y——成品净含量包装称量实际值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 xml:space="preserve"> </w:t>
      </w:r>
      <w:r>
        <w:rPr>
          <w:rFonts w:ascii="宋体" w:hAnsi="宋体" w:cstheme="minorEastAsia"/>
          <w:szCs w:val="21"/>
        </w:rPr>
        <w:t xml:space="preserve">     x</w:t>
      </w:r>
      <w:r>
        <w:rPr>
          <w:rFonts w:ascii="宋体" w:hAnsi="宋体" w:cstheme="minorEastAsia" w:hint="eastAsia"/>
          <w:szCs w:val="21"/>
        </w:rPr>
        <w:t>——电子</w:t>
      </w:r>
      <w:r>
        <w:rPr>
          <w:rFonts w:ascii="宋体" w:hAnsi="宋体" w:hint="eastAsia"/>
          <w:kern w:val="0"/>
        </w:rPr>
        <w:t>灌装</w:t>
      </w:r>
      <w:r>
        <w:rPr>
          <w:rFonts w:ascii="宋体" w:hAnsi="宋体" w:cstheme="minorEastAsia" w:hint="eastAsia"/>
          <w:szCs w:val="21"/>
        </w:rPr>
        <w:t>秤的示值，单位：k</w:t>
      </w:r>
      <w:r>
        <w:rPr>
          <w:rFonts w:ascii="宋体" w:hAnsi="宋体" w:cstheme="minorEastAsia"/>
          <w:szCs w:val="21"/>
        </w:rPr>
        <w:t>g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三、输入量的标准不确定度评定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3</w:t>
      </w:r>
      <w:r>
        <w:rPr>
          <w:rFonts w:ascii="宋体" w:hAnsi="宋体" w:cstheme="minorEastAsia"/>
          <w:szCs w:val="21"/>
        </w:rPr>
        <w:t>.1</w:t>
      </w:r>
      <w:r>
        <w:rPr>
          <w:rFonts w:ascii="宋体" w:hAnsi="宋体" w:cstheme="minorEastAsia" w:hint="eastAsia"/>
          <w:szCs w:val="21"/>
        </w:rPr>
        <w:t>输入量x的标准不确定度</w:t>
      </w:r>
      <w:bookmarkStart w:id="2" w:name="_Hlk20251813"/>
      <w:r>
        <w:rPr>
          <w:rFonts w:ascii="宋体" w:hAnsi="宋体" w:cstheme="minorEastAsia" w:hint="eastAsia"/>
          <w:szCs w:val="21"/>
        </w:rPr>
        <w:t>u</w:t>
      </w:r>
      <w:r>
        <w:rPr>
          <w:rFonts w:ascii="宋体" w:hAnsi="宋体" w:cstheme="minorEastAsia"/>
          <w:szCs w:val="21"/>
          <w:vertAlign w:val="subscript"/>
        </w:rPr>
        <w:t>(x)</w:t>
      </w:r>
      <w:bookmarkEnd w:id="2"/>
      <w:r>
        <w:rPr>
          <w:rFonts w:ascii="宋体" w:hAnsi="宋体" w:cstheme="minorEastAsia" w:hint="eastAsia"/>
          <w:szCs w:val="21"/>
        </w:rPr>
        <w:t>的评定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分析可得：u</w:t>
      </w:r>
      <w:r>
        <w:rPr>
          <w:rFonts w:ascii="宋体" w:hAnsi="宋体" w:cstheme="minorEastAsia"/>
          <w:szCs w:val="21"/>
          <w:vertAlign w:val="subscript"/>
        </w:rPr>
        <w:t>(x)</w:t>
      </w:r>
      <w:r>
        <w:rPr>
          <w:rFonts w:ascii="宋体" w:hAnsi="宋体" w:cstheme="minorEastAsia" w:hint="eastAsia"/>
          <w:szCs w:val="21"/>
        </w:rPr>
        <w:t>由下列三个不确定度分量构成：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⑴电子</w:t>
      </w:r>
      <w:r>
        <w:rPr>
          <w:rFonts w:ascii="宋体" w:hAnsi="宋体" w:hint="eastAsia"/>
          <w:kern w:val="0"/>
        </w:rPr>
        <w:t>灌装</w:t>
      </w:r>
      <w:r>
        <w:rPr>
          <w:rFonts w:ascii="宋体" w:hAnsi="宋体" w:cstheme="minorEastAsia" w:hint="eastAsia"/>
          <w:szCs w:val="21"/>
        </w:rPr>
        <w:t>秤对聚丙烯成品净含量包装称量重复性引入的标准不确定度u</w:t>
      </w:r>
      <w:r>
        <w:rPr>
          <w:rFonts w:ascii="宋体" w:hAnsi="宋体" w:cstheme="minorEastAsia"/>
          <w:szCs w:val="21"/>
          <w:vertAlign w:val="subscript"/>
        </w:rPr>
        <w:t>1</w:t>
      </w:r>
      <w:r>
        <w:rPr>
          <w:rFonts w:ascii="宋体" w:hAnsi="宋体" w:cstheme="minorEastAsia" w:hint="eastAsia"/>
          <w:szCs w:val="21"/>
        </w:rPr>
        <w:t>；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⑵</w:t>
      </w:r>
      <w:r>
        <w:rPr>
          <w:rFonts w:ascii="宋体" w:hAnsi="宋体" w:hint="eastAsia"/>
          <w:szCs w:val="21"/>
        </w:rPr>
        <w:t>定量自动包装秤</w:t>
      </w:r>
      <w:bookmarkStart w:id="3" w:name="_Hlk20253396"/>
      <w:r>
        <w:rPr>
          <w:rFonts w:ascii="宋体" w:hAnsi="宋体" w:hint="eastAsia"/>
          <w:szCs w:val="21"/>
        </w:rPr>
        <w:t>（罐装秤）</w:t>
      </w:r>
      <w:r>
        <w:rPr>
          <w:rFonts w:ascii="宋体" w:hAnsi="宋体" w:cstheme="minorEastAsia" w:hint="eastAsia"/>
          <w:szCs w:val="21"/>
        </w:rPr>
        <w:t>——分度值引入的标准不确定度u</w:t>
      </w:r>
      <w:r>
        <w:rPr>
          <w:rFonts w:ascii="宋体" w:hAnsi="宋体" w:cstheme="minorEastAsia"/>
          <w:szCs w:val="21"/>
          <w:vertAlign w:val="subscript"/>
        </w:rPr>
        <w:t>2</w:t>
      </w:r>
      <w:r>
        <w:rPr>
          <w:rFonts w:ascii="宋体" w:hAnsi="宋体" w:cstheme="minorEastAsia" w:hint="eastAsia"/>
          <w:szCs w:val="21"/>
        </w:rPr>
        <w:t>；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hint="eastAsia"/>
          <w:szCs w:val="21"/>
        </w:rPr>
        <w:t>(3)定量自动包装秤（罐装秤）</w:t>
      </w:r>
      <w:r>
        <w:rPr>
          <w:rFonts w:ascii="宋体" w:hAnsi="宋体" w:cstheme="minorEastAsia" w:hint="eastAsia"/>
          <w:szCs w:val="21"/>
        </w:rPr>
        <w:t>——最大误差引入的标准不确定度u</w:t>
      </w:r>
      <w:r>
        <w:rPr>
          <w:rFonts w:ascii="宋体" w:hAnsi="宋体" w:cstheme="minorEastAsia" w:hint="eastAsia"/>
          <w:szCs w:val="21"/>
          <w:vertAlign w:val="subscript"/>
        </w:rPr>
        <w:t>3</w:t>
      </w:r>
      <w:r>
        <w:rPr>
          <w:rFonts w:ascii="宋体" w:hAnsi="宋体" w:cstheme="minorEastAsia" w:hint="eastAsia"/>
          <w:szCs w:val="21"/>
        </w:rPr>
        <w:t>；</w:t>
      </w:r>
    </w:p>
    <w:p w:rsidR="00406007" w:rsidRDefault="00406007">
      <w:pPr>
        <w:spacing w:line="324" w:lineRule="auto"/>
        <w:ind w:left="422"/>
        <w:rPr>
          <w:rFonts w:ascii="宋体" w:hAnsi="宋体" w:cstheme="minorEastAsia"/>
          <w:szCs w:val="21"/>
        </w:rPr>
      </w:pPr>
    </w:p>
    <w:bookmarkEnd w:id="3"/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3</w:t>
      </w:r>
      <w:r>
        <w:rPr>
          <w:rFonts w:ascii="宋体" w:hAnsi="宋体" w:cstheme="minorEastAsia"/>
          <w:szCs w:val="21"/>
        </w:rPr>
        <w:t>.1.1</w:t>
      </w:r>
      <w:r>
        <w:rPr>
          <w:rFonts w:ascii="宋体" w:hAnsi="宋体" w:cstheme="minorEastAsia" w:hint="eastAsia"/>
          <w:szCs w:val="21"/>
        </w:rPr>
        <w:t>电子秤对聚丙烯成品净含量包装称量重复性引入的标准不确定度u</w:t>
      </w:r>
      <w:r>
        <w:rPr>
          <w:rFonts w:ascii="宋体" w:hAnsi="宋体" w:cstheme="minorEastAsia"/>
          <w:szCs w:val="21"/>
          <w:vertAlign w:val="subscript"/>
        </w:rPr>
        <w:t>1</w:t>
      </w:r>
      <w:r>
        <w:rPr>
          <w:rFonts w:ascii="宋体" w:hAnsi="宋体" w:cstheme="minorEastAsia" w:hint="eastAsia"/>
          <w:szCs w:val="21"/>
        </w:rPr>
        <w:t>评定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在可复现的条件下采用灌装秤对聚丙烯成品净含量包装称量进行1</w:t>
      </w:r>
      <w:r>
        <w:rPr>
          <w:rFonts w:ascii="宋体" w:hAnsi="宋体" w:cstheme="minorEastAsia"/>
          <w:szCs w:val="21"/>
        </w:rPr>
        <w:t>0</w:t>
      </w:r>
      <w:r>
        <w:rPr>
          <w:rFonts w:ascii="宋体" w:hAnsi="宋体" w:cstheme="minorEastAsia" w:hint="eastAsia"/>
          <w:szCs w:val="21"/>
        </w:rPr>
        <w:t>次独立测量（单位：k</w:t>
      </w:r>
      <w:r>
        <w:rPr>
          <w:rFonts w:ascii="宋体" w:hAnsi="宋体" w:cstheme="minorEastAsia"/>
          <w:szCs w:val="21"/>
        </w:rPr>
        <w:t>g</w:t>
      </w:r>
      <w:r>
        <w:rPr>
          <w:rFonts w:ascii="宋体" w:hAnsi="宋体" w:cstheme="minorEastAsia" w:hint="eastAsia"/>
          <w:szCs w:val="21"/>
        </w:rPr>
        <w:t>）,测量数据如下：</w:t>
      </w:r>
    </w:p>
    <w:tbl>
      <w:tblPr>
        <w:tblStyle w:val="a3"/>
        <w:tblW w:w="91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406007">
        <w:tc>
          <w:tcPr>
            <w:tcW w:w="715" w:type="dxa"/>
          </w:tcPr>
          <w:p w:rsidR="00406007" w:rsidRDefault="00AC4EA6">
            <w:pPr>
              <w:spacing w:line="324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序号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1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2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3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4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5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6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7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8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9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1</w:t>
            </w:r>
            <w:r>
              <w:rPr>
                <w:rFonts w:ascii="宋体" w:hAnsi="宋体" w:cstheme="minorEastAsia"/>
                <w:szCs w:val="21"/>
              </w:rPr>
              <w:t>0</w:t>
            </w:r>
          </w:p>
        </w:tc>
      </w:tr>
      <w:tr w:rsidR="00406007">
        <w:tc>
          <w:tcPr>
            <w:tcW w:w="715" w:type="dxa"/>
          </w:tcPr>
          <w:p w:rsidR="00406007" w:rsidRDefault="00AC4EA6">
            <w:pPr>
              <w:spacing w:line="324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x</w:t>
            </w:r>
            <w:r>
              <w:rPr>
                <w:rFonts w:ascii="宋体" w:hAnsi="宋体" w:cstheme="minorEastAsia"/>
                <w:szCs w:val="21"/>
                <w:vertAlign w:val="subscript"/>
              </w:rPr>
              <w:t>i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2</w:t>
            </w:r>
            <w:r>
              <w:rPr>
                <w:rFonts w:ascii="宋体" w:hAnsi="宋体" w:cstheme="minorEastAsia"/>
                <w:szCs w:val="21"/>
              </w:rPr>
              <w:t>5.020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2</w:t>
            </w:r>
            <w:r>
              <w:rPr>
                <w:rFonts w:ascii="宋体" w:hAnsi="宋体" w:cstheme="minorEastAsia"/>
                <w:szCs w:val="21"/>
              </w:rPr>
              <w:t>5.040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2</w:t>
            </w:r>
            <w:r>
              <w:rPr>
                <w:rFonts w:ascii="宋体" w:hAnsi="宋体" w:cstheme="minorEastAsia"/>
                <w:szCs w:val="21"/>
              </w:rPr>
              <w:t>5.020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2</w:t>
            </w:r>
            <w:r>
              <w:rPr>
                <w:rFonts w:ascii="宋体" w:hAnsi="宋体" w:cstheme="minorEastAsia"/>
                <w:szCs w:val="21"/>
              </w:rPr>
              <w:t>5.060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2</w:t>
            </w:r>
            <w:r>
              <w:rPr>
                <w:rFonts w:ascii="宋体" w:hAnsi="宋体" w:cstheme="minorEastAsia"/>
                <w:szCs w:val="21"/>
              </w:rPr>
              <w:t>5.020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2</w:t>
            </w:r>
            <w:r>
              <w:rPr>
                <w:rFonts w:ascii="宋体" w:hAnsi="宋体" w:cstheme="minorEastAsia"/>
                <w:szCs w:val="21"/>
              </w:rPr>
              <w:t>5.060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2</w:t>
            </w:r>
            <w:r>
              <w:rPr>
                <w:rFonts w:ascii="宋体" w:hAnsi="宋体" w:cstheme="minorEastAsia"/>
                <w:szCs w:val="21"/>
              </w:rPr>
              <w:t>5.070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2</w:t>
            </w:r>
            <w:r>
              <w:rPr>
                <w:rFonts w:ascii="宋体" w:hAnsi="宋体" w:cstheme="minorEastAsia"/>
                <w:szCs w:val="21"/>
              </w:rPr>
              <w:t>5.040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2</w:t>
            </w:r>
            <w:r>
              <w:rPr>
                <w:rFonts w:ascii="宋体" w:hAnsi="宋体" w:cstheme="minorEastAsia"/>
                <w:szCs w:val="21"/>
              </w:rPr>
              <w:t>5.030</w:t>
            </w:r>
          </w:p>
        </w:tc>
        <w:tc>
          <w:tcPr>
            <w:tcW w:w="846" w:type="dxa"/>
          </w:tcPr>
          <w:p w:rsidR="00406007" w:rsidRDefault="00AC4EA6">
            <w:pPr>
              <w:spacing w:line="324" w:lineRule="auto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2</w:t>
            </w:r>
            <w:r>
              <w:rPr>
                <w:rFonts w:ascii="宋体" w:hAnsi="宋体" w:cstheme="minorEastAsia"/>
                <w:szCs w:val="21"/>
              </w:rPr>
              <w:t>5,020</w:t>
            </w:r>
          </w:p>
        </w:tc>
      </w:tr>
    </w:tbl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平均值：</w:t>
      </w:r>
      <m:oMath>
        <m:acc>
          <m:accPr>
            <m:chr m:val="̅"/>
            <m:ctrlPr>
              <w:rPr>
                <w:rFonts w:ascii="Cambria Math" w:hAnsi="Cambria Math" w:cstheme="minorEastAsia"/>
                <w:i/>
                <w:szCs w:val="21"/>
              </w:rPr>
            </m:ctrlPr>
          </m:accPr>
          <m:e>
            <m:r>
              <w:rPr>
                <w:rFonts w:ascii="Cambria Math" w:hAnsi="Cambria Math" w:cstheme="minorEastAsia"/>
                <w:szCs w:val="21"/>
              </w:rPr>
              <m:t>x</m:t>
            </m:r>
          </m:e>
        </m:acc>
      </m:oMath>
      <w:r>
        <w:rPr>
          <w:rFonts w:ascii="宋体" w:hAnsi="宋体" w:cstheme="minorEastAsia" w:hint="eastAsia"/>
          <w:szCs w:val="21"/>
        </w:rPr>
        <w:t>=</w:t>
      </w:r>
      <w:r>
        <w:rPr>
          <w:rFonts w:ascii="宋体" w:hAnsi="宋体" w:cstheme="minorEastAsia"/>
          <w:szCs w:val="21"/>
        </w:rPr>
        <w:t>25.038kg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重复测量的标准差：</w:t>
      </w:r>
      <w:r>
        <w:rPr>
          <w:noProof/>
        </w:rPr>
        <w:drawing>
          <wp:inline distT="0" distB="0" distL="0" distR="0">
            <wp:extent cx="1584960" cy="6019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theme="minorEastAsia" w:hint="eastAsia"/>
          <w:szCs w:val="21"/>
        </w:rPr>
        <w:t>≈0</w:t>
      </w:r>
      <w:r>
        <w:rPr>
          <w:rFonts w:ascii="宋体" w:hAnsi="宋体" w:cstheme="minorEastAsia"/>
          <w:szCs w:val="21"/>
        </w:rPr>
        <w:t>.022kg</w:t>
      </w:r>
    </w:p>
    <w:p w:rsidR="00406007" w:rsidRDefault="00AC4EA6">
      <w:pPr>
        <w:tabs>
          <w:tab w:val="center" w:pos="4612"/>
        </w:tabs>
        <w:spacing w:line="360" w:lineRule="auto"/>
        <w:ind w:firstLineChars="150" w:firstLine="36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lastRenderedPageBreak/>
        <w:t xml:space="preserve">  </w:t>
      </w:r>
      <w:r>
        <w:rPr>
          <w:rFonts w:ascii="宋体" w:hAnsi="宋体" w:hint="eastAsia"/>
          <w:i/>
          <w:color w:val="000000" w:themeColor="text1"/>
          <w:sz w:val="24"/>
        </w:rPr>
        <w:t>u</w:t>
      </w:r>
      <w:r>
        <w:rPr>
          <w:rFonts w:ascii="宋体" w:hAnsi="宋体" w:hint="eastAsia"/>
          <w:i/>
          <w:color w:val="000000" w:themeColor="text1"/>
          <w:sz w:val="24"/>
          <w:vertAlign w:val="subscript"/>
        </w:rPr>
        <w:t>1</w:t>
      </w:r>
      <w:r>
        <w:rPr>
          <w:rFonts w:ascii="宋体" w:hAnsi="宋体" w:hint="eastAsia"/>
          <w:color w:val="000000" w:themeColor="text1"/>
          <w:sz w:val="24"/>
        </w:rPr>
        <w:t xml:space="preserve">= </w:t>
      </w:r>
      <w:r>
        <w:rPr>
          <w:rFonts w:ascii="宋体" w:hAnsi="宋体"/>
          <w:color w:val="000000" w:themeColor="text1"/>
          <w:position w:val="-28"/>
          <w:sz w:val="24"/>
        </w:rPr>
        <w:object w:dxaOrig="42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33pt" o:ole="">
            <v:imagedata r:id="rId8" o:title=""/>
          </v:shape>
          <o:OLEObject Type="Embed" ProgID="Equation.3" ShapeID="_x0000_i1025" DrawAspect="Content" ObjectID="_1709216672" r:id="rId9"/>
        </w:object>
      </w:r>
      <w:r>
        <w:rPr>
          <w:rFonts w:ascii="宋体" w:hAnsi="宋体" w:hint="eastAsia"/>
          <w:color w:val="000000" w:themeColor="text1"/>
          <w:sz w:val="24"/>
        </w:rPr>
        <w:t>= 0.01kg</w:t>
      </w:r>
    </w:p>
    <w:p w:rsidR="00406007" w:rsidRDefault="00406007">
      <w:pPr>
        <w:spacing w:line="324" w:lineRule="auto"/>
        <w:ind w:left="422"/>
        <w:rPr>
          <w:rFonts w:ascii="宋体" w:hAnsi="宋体" w:cstheme="minorEastAsia"/>
          <w:szCs w:val="21"/>
        </w:rPr>
      </w:pPr>
    </w:p>
    <w:p w:rsidR="00406007" w:rsidRDefault="00AC4EA6">
      <w:pPr>
        <w:spacing w:line="324" w:lineRule="auto"/>
        <w:ind w:firstLineChars="200" w:firstLine="420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3</w:t>
      </w:r>
      <w:r>
        <w:rPr>
          <w:rFonts w:ascii="宋体" w:hAnsi="宋体" w:cstheme="minorEastAsia"/>
          <w:szCs w:val="21"/>
        </w:rPr>
        <w:t>.1.2</w:t>
      </w:r>
      <w:r>
        <w:rPr>
          <w:rFonts w:ascii="宋体" w:hAnsi="宋体" w:hint="eastAsia"/>
          <w:szCs w:val="21"/>
        </w:rPr>
        <w:t>定量自动包装秤（罐装秤）</w:t>
      </w:r>
      <w:r>
        <w:rPr>
          <w:rFonts w:ascii="宋体" w:hAnsi="宋体"/>
          <w:szCs w:val="21"/>
        </w:rPr>
        <w:t>:</w:t>
      </w:r>
      <w:r>
        <w:rPr>
          <w:rFonts w:ascii="宋体" w:hAnsi="宋体" w:hint="eastAsia"/>
          <w:szCs w:val="21"/>
        </w:rPr>
        <w:t>在线自动电子秤</w:t>
      </w:r>
      <w:r>
        <w:rPr>
          <w:rFonts w:ascii="宋体" w:hAnsi="宋体" w:cs="宋体" w:hint="eastAsia"/>
          <w:color w:val="000000"/>
          <w:szCs w:val="21"/>
        </w:rPr>
        <w:t xml:space="preserve"> FCS-2</w:t>
      </w:r>
      <w:r>
        <w:rPr>
          <w:rFonts w:ascii="宋体" w:hAnsi="宋体" w:cs="宋体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宋体" w:hAnsi="宋体" w:cs="宋体" w:hint="eastAsia"/>
          <w:szCs w:val="21"/>
        </w:rPr>
        <w:t>在线自动称重复检秤分度值e</w:t>
      </w:r>
      <w:r>
        <w:rPr>
          <w:rFonts w:ascii="宋体" w:hAnsi="宋体" w:cs="宋体"/>
          <w:szCs w:val="21"/>
        </w:rPr>
        <w:t>=</w:t>
      </w:r>
      <w:r>
        <w:rPr>
          <w:rFonts w:ascii="宋体" w:hAnsi="宋体" w:cstheme="minorEastAsia"/>
          <w:szCs w:val="21"/>
        </w:rPr>
        <w:t>10g</w:t>
      </w:r>
      <w:r>
        <w:rPr>
          <w:rFonts w:ascii="宋体" w:hAnsi="宋体" w:cstheme="minorEastAsia" w:hint="eastAsia"/>
          <w:szCs w:val="21"/>
        </w:rPr>
        <w:t>（</w:t>
      </w:r>
      <w:r>
        <w:rPr>
          <w:rFonts w:ascii="宋体" w:hAnsi="宋体" w:cstheme="minorEastAsia"/>
          <w:szCs w:val="21"/>
        </w:rPr>
        <w:t>0.01</w:t>
      </w:r>
      <w:r>
        <w:rPr>
          <w:rFonts w:ascii="宋体" w:hAnsi="宋体" w:cstheme="minorEastAsia" w:hint="eastAsia"/>
          <w:szCs w:val="21"/>
        </w:rPr>
        <w:t>）k</w:t>
      </w:r>
      <w:r>
        <w:rPr>
          <w:rFonts w:ascii="宋体" w:hAnsi="宋体" w:cstheme="minorEastAsia"/>
          <w:szCs w:val="21"/>
        </w:rPr>
        <w:t>g</w:t>
      </w:r>
      <w:r>
        <w:rPr>
          <w:rFonts w:ascii="宋体" w:hAnsi="宋体" w:cstheme="minorEastAsia" w:hint="eastAsia"/>
          <w:szCs w:val="21"/>
        </w:rPr>
        <w:t>，</w:t>
      </w:r>
    </w:p>
    <w:p w:rsidR="00406007" w:rsidRDefault="00AC4EA6">
      <w:pPr>
        <w:spacing w:line="324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theme="minorEastAsia" w:hint="eastAsia"/>
          <w:szCs w:val="21"/>
        </w:rPr>
        <w:t>u</w:t>
      </w:r>
      <w:r>
        <w:rPr>
          <w:rFonts w:ascii="宋体" w:hAnsi="宋体" w:cstheme="minorEastAsia" w:hint="eastAsia"/>
          <w:szCs w:val="21"/>
          <w:vertAlign w:val="subscript"/>
        </w:rPr>
        <w:t>2</w:t>
      </w:r>
      <w:r>
        <w:rPr>
          <w:rFonts w:ascii="宋体" w:hAnsi="宋体" w:cstheme="minorEastAsia" w:hint="eastAsia"/>
          <w:szCs w:val="21"/>
        </w:rPr>
        <w:t>=</w:t>
      </w:r>
      <w:r>
        <w:rPr>
          <w:rFonts w:ascii="宋体" w:hAnsi="宋体" w:cstheme="minorEastAsia" w:hint="eastAsia"/>
          <w:position w:val="-28"/>
          <w:szCs w:val="21"/>
        </w:rPr>
        <w:object w:dxaOrig="520" w:dyaOrig="660">
          <v:shape id="_x0000_i1026" type="#_x0000_t75" style="width:25.8pt;height:33pt" o:ole="">
            <v:imagedata r:id="rId10" o:title=""/>
          </v:shape>
          <o:OLEObject Type="Embed" ProgID="Equation.3" ShapeID="_x0000_i1026" DrawAspect="Content" ObjectID="_1709216673" r:id="rId11"/>
        </w:object>
      </w:r>
      <w:r>
        <w:rPr>
          <w:rFonts w:ascii="宋体" w:hAnsi="宋体" w:cstheme="minorEastAsia" w:hint="eastAsia"/>
          <w:szCs w:val="21"/>
        </w:rPr>
        <w:t>=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0.01</w:t>
      </w:r>
      <w:r>
        <w:rPr>
          <w:rFonts w:ascii="宋体" w:hAnsi="宋体" w:cs="宋体"/>
          <w:color w:val="000000"/>
          <w:szCs w:val="21"/>
        </w:rPr>
        <w:t>kg</w:t>
      </w:r>
    </w:p>
    <w:p w:rsidR="00406007" w:rsidRDefault="00AC4EA6">
      <w:pPr>
        <w:spacing w:line="324" w:lineRule="auto"/>
        <w:ind w:firstLineChars="200" w:firstLine="420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3</w:t>
      </w:r>
      <w:r>
        <w:rPr>
          <w:rFonts w:ascii="宋体" w:hAnsi="宋体" w:cstheme="minorEastAsia"/>
          <w:szCs w:val="21"/>
        </w:rPr>
        <w:t>.1.</w:t>
      </w:r>
      <w:r>
        <w:rPr>
          <w:rFonts w:ascii="宋体" w:hAnsi="宋体" w:cstheme="minorEastAsia" w:hint="eastAsia"/>
          <w:szCs w:val="21"/>
        </w:rPr>
        <w:t>3</w:t>
      </w:r>
      <w:r>
        <w:rPr>
          <w:rFonts w:ascii="宋体" w:hAnsi="宋体" w:hint="eastAsia"/>
          <w:szCs w:val="21"/>
        </w:rPr>
        <w:t>定量自动包装秤（罐装秤）</w:t>
      </w:r>
      <w:r>
        <w:rPr>
          <w:rFonts w:ascii="宋体" w:hAnsi="宋体"/>
          <w:szCs w:val="21"/>
        </w:rPr>
        <w:t>:</w:t>
      </w:r>
      <w:r>
        <w:rPr>
          <w:rFonts w:ascii="宋体" w:hAnsi="宋体" w:hint="eastAsia"/>
          <w:szCs w:val="21"/>
        </w:rPr>
        <w:t>在线自动电子秤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 w:rsidR="00E10B30">
        <w:rPr>
          <w:rFonts w:ascii="宋体" w:hAnsi="宋体" w:cs="宋体"/>
          <w:kern w:val="0"/>
        </w:rPr>
        <w:t>CE10112-WCLBA-A</w:t>
      </w:r>
      <w:r w:rsidR="00E10B30">
        <w:rPr>
          <w:rFonts w:ascii="宋体" w:hAnsi="宋体" w:cs="宋体" w:hint="eastAsia"/>
          <w:kern w:val="0"/>
        </w:rPr>
        <w:t>、</w:t>
      </w:r>
      <w:r w:rsidR="00E10B30">
        <w:rPr>
          <w:rFonts w:ascii="宋体" w:hAnsi="宋体" w:cs="宋体"/>
          <w:kern w:val="0"/>
        </w:rPr>
        <w:t>CE10112-WCLBA-B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宋体" w:hAnsi="宋体" w:cstheme="minorEastAsia" w:hint="eastAsia"/>
          <w:szCs w:val="21"/>
        </w:rPr>
        <w:t>最大允许误差为±1</w:t>
      </w:r>
      <w:r>
        <w:rPr>
          <w:rFonts w:ascii="宋体" w:hAnsi="宋体" w:cstheme="minorEastAsia"/>
          <w:szCs w:val="21"/>
        </w:rPr>
        <w:t>.5e=15g=0.015kg,</w:t>
      </w:r>
      <w:r>
        <w:rPr>
          <w:rFonts w:ascii="宋体" w:hAnsi="宋体" w:cstheme="minorEastAsia" w:hint="eastAsia"/>
          <w:szCs w:val="21"/>
        </w:rPr>
        <w:t>一般取均匀分布，k</w:t>
      </w:r>
      <w:r>
        <w:rPr>
          <w:rFonts w:ascii="宋体" w:hAnsi="宋体" w:cstheme="minorEastAsia"/>
          <w:szCs w:val="21"/>
        </w:rPr>
        <w:t>=2</w:t>
      </w:r>
      <w:r>
        <w:rPr>
          <w:rFonts w:ascii="宋体" w:hAnsi="宋体" w:cstheme="minorEastAsia" w:hint="eastAsia"/>
          <w:szCs w:val="21"/>
        </w:rPr>
        <w:t>，包含因子</w:t>
      </w:r>
      <w:r>
        <w:rPr>
          <w:rFonts w:ascii="宋体" w:hAnsi="宋体" w:cstheme="minorEastAsia" w:hint="eastAsia"/>
          <w:position w:val="-8"/>
          <w:szCs w:val="21"/>
        </w:rPr>
        <w:object w:dxaOrig="360" w:dyaOrig="360">
          <v:shape id="_x0000_i1027" type="#_x0000_t75" style="width:18pt;height:18pt" o:ole="">
            <v:imagedata r:id="rId12" o:title=""/>
          </v:shape>
          <o:OLEObject Type="Embed" ProgID="Equation.3" ShapeID="_x0000_i1027" DrawAspect="Content" ObjectID="_1709216674" r:id="rId13"/>
        </w:object>
      </w:r>
      <w:r>
        <w:rPr>
          <w:rFonts w:ascii="宋体" w:hAnsi="宋体" w:cstheme="minorEastAsia" w:hint="eastAsia"/>
          <w:szCs w:val="21"/>
        </w:rPr>
        <w:t>,带来的不确定度为：</w:t>
      </w:r>
    </w:p>
    <w:p w:rsidR="00406007" w:rsidRDefault="00AC4EA6">
      <w:pPr>
        <w:spacing w:line="324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theme="minorEastAsia" w:hint="eastAsia"/>
          <w:szCs w:val="21"/>
        </w:rPr>
        <w:t>U</w:t>
      </w:r>
      <w:r>
        <w:rPr>
          <w:rFonts w:ascii="宋体" w:hAnsi="宋体" w:cstheme="minorEastAsia" w:hint="eastAsia"/>
          <w:szCs w:val="21"/>
          <w:vertAlign w:val="subscript"/>
        </w:rPr>
        <w:t>3</w:t>
      </w:r>
      <w:r>
        <w:rPr>
          <w:rFonts w:ascii="宋体" w:hAnsi="宋体" w:cstheme="minorEastAsia" w:hint="eastAsia"/>
          <w:szCs w:val="21"/>
        </w:rPr>
        <w:t>=</w:t>
      </w:r>
      <w:r>
        <w:rPr>
          <w:rFonts w:ascii="宋体" w:hAnsi="宋体" w:cstheme="minorEastAsia" w:hint="eastAsia"/>
          <w:position w:val="-28"/>
          <w:szCs w:val="21"/>
        </w:rPr>
        <w:object w:dxaOrig="1144" w:dyaOrig="590">
          <v:shape id="_x0000_i1028" type="#_x0000_t75" style="width:57pt;height:29.4pt" o:ole="">
            <v:imagedata r:id="rId14" o:title=""/>
          </v:shape>
          <o:OLEObject Type="Embed" ProgID="Equation.3" ShapeID="_x0000_i1028" DrawAspect="Content" ObjectID="_1709216675" r:id="rId15"/>
        </w:object>
      </w:r>
      <w:r>
        <w:rPr>
          <w:rFonts w:ascii="宋体" w:hAnsi="宋体" w:cs="宋体"/>
          <w:color w:val="000000"/>
          <w:szCs w:val="21"/>
        </w:rPr>
        <w:t>kg</w:t>
      </w:r>
      <w:r>
        <w:rPr>
          <w:rFonts w:ascii="宋体" w:hAnsi="宋体" w:cs="宋体"/>
          <w:color w:val="000000"/>
          <w:position w:val="-10"/>
          <w:szCs w:val="21"/>
        </w:rPr>
        <w:object w:dxaOrig="1440" w:dyaOrig="340">
          <v:shape id="_x0000_i1029" type="#_x0000_t75" style="width:1in;height:16.8pt" o:ole="">
            <v:imagedata r:id="rId16" o:title=""/>
          </v:shape>
          <o:OLEObject Type="Embed" ProgID="Equation.3" ShapeID="_x0000_i1029" DrawAspect="Content" ObjectID="_1709216676" r:id="rId17"/>
        </w:object>
      </w:r>
    </w:p>
    <w:p w:rsidR="00406007" w:rsidRDefault="00406007">
      <w:pPr>
        <w:spacing w:line="324" w:lineRule="auto"/>
        <w:ind w:firstLineChars="200" w:firstLine="420"/>
        <w:rPr>
          <w:rFonts w:ascii="宋体" w:hAnsi="宋体" w:cstheme="minorEastAsia"/>
          <w:szCs w:val="21"/>
        </w:rPr>
      </w:pP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四、合成标准不确定度u</w:t>
      </w:r>
      <w:r>
        <w:rPr>
          <w:rFonts w:ascii="宋体" w:hAnsi="宋体" w:cstheme="minorEastAsia"/>
          <w:szCs w:val="21"/>
          <w:vertAlign w:val="subscript"/>
        </w:rPr>
        <w:t>c</w:t>
      </w:r>
      <w:r>
        <w:rPr>
          <w:rFonts w:ascii="宋体" w:hAnsi="宋体" w:cstheme="minorEastAsia" w:hint="eastAsia"/>
          <w:szCs w:val="21"/>
        </w:rPr>
        <w:t>的评定</w:t>
      </w:r>
    </w:p>
    <w:p w:rsidR="00406007" w:rsidRDefault="004A0BA4">
      <w:pPr>
        <w:tabs>
          <w:tab w:val="left" w:pos="5581"/>
        </w:tabs>
        <w:spacing w:line="324" w:lineRule="auto"/>
        <w:ind w:left="422"/>
        <w:rPr>
          <w:rFonts w:ascii="宋体" w:hAnsi="宋体" w:cstheme="minorEastAsia"/>
          <w:szCs w:val="21"/>
        </w:rPr>
      </w:pPr>
      <m:oMath>
        <m:sSub>
          <m:sSubPr>
            <m:ctrlPr>
              <w:rPr>
                <w:rFonts w:ascii="Cambria Math" w:hAnsi="Cambria Math" w:cstheme="minorEastAsia"/>
                <w:i/>
                <w:szCs w:val="21"/>
              </w:rPr>
            </m:ctrlPr>
          </m:sSubPr>
          <m:e>
            <m:r>
              <w:rPr>
                <w:rFonts w:ascii="Cambria Math" w:hAnsi="Cambria Math" w:cstheme="minorEastAsia"/>
                <w:szCs w:val="21"/>
              </w:rPr>
              <m:t>U</m:t>
            </m:r>
          </m:e>
          <m:sub>
            <m:r>
              <w:rPr>
                <w:rFonts w:ascii="Cambria Math" w:hAnsi="Cambria Math" w:cstheme="minorEastAsia"/>
                <w:szCs w:val="21"/>
              </w:rPr>
              <m:t>c</m:t>
            </m:r>
          </m:sub>
        </m:sSub>
        <m:r>
          <w:rPr>
            <w:rFonts w:ascii="Cambria Math" w:hAnsi="Cambria Math" w:cstheme="minorEastAsia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cstheme="minorEastAsia"/>
                <w:i/>
                <w:szCs w:val="21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theme="minorEastAsia"/>
                    <w:i/>
                    <w:szCs w:val="21"/>
                  </w:rPr>
                </m:ctrlPr>
              </m:sSubSupPr>
              <m:e>
                <m:r>
                  <w:rPr>
                    <w:rFonts w:ascii="Cambria Math" w:hAnsi="Cambria Math" w:cstheme="minorEastAsia"/>
                    <w:szCs w:val="21"/>
                  </w:rPr>
                  <m:t>u</m:t>
                </m:r>
              </m:e>
              <m:sub>
                <m:r>
                  <w:rPr>
                    <w:rFonts w:ascii="Cambria Math" w:hAnsi="Cambria Math" w:cstheme="minorEastAsia"/>
                    <w:szCs w:val="21"/>
                  </w:rPr>
                  <m:t>1</m:t>
                </m:r>
              </m:sub>
              <m:sup>
                <m:r>
                  <w:rPr>
                    <w:rFonts w:ascii="Cambria Math" w:hAnsi="Cambria Math" w:cstheme="minorEastAsia"/>
                    <w:szCs w:val="21"/>
                  </w:rPr>
                  <m:t>2</m:t>
                </m:r>
              </m:sup>
            </m:sSubSup>
            <m:r>
              <w:rPr>
                <w:rFonts w:ascii="Cambria Math" w:hAnsi="Cambria Math" w:cstheme="minorEastAsia"/>
                <w:szCs w:val="21"/>
              </w:rPr>
              <m:t>+</m:t>
            </m:r>
            <m:sSubSup>
              <m:sSubSupPr>
                <m:ctrlPr>
                  <w:rPr>
                    <w:rFonts w:ascii="Cambria Math" w:hAnsi="Cambria Math" w:cstheme="minorEastAsia"/>
                    <w:i/>
                    <w:szCs w:val="21"/>
                  </w:rPr>
                </m:ctrlPr>
              </m:sSubSupPr>
              <m:e>
                <m:r>
                  <w:rPr>
                    <w:rFonts w:ascii="Cambria Math" w:hAnsi="Cambria Math" w:cstheme="minorEastAsia"/>
                    <w:szCs w:val="21"/>
                  </w:rPr>
                  <m:t>u</m:t>
                </m:r>
              </m:e>
              <m:sub>
                <m:r>
                  <w:rPr>
                    <w:rFonts w:ascii="Cambria Math" w:hAnsi="Cambria Math" w:cstheme="minorEastAsia"/>
                    <w:szCs w:val="21"/>
                  </w:rPr>
                  <m:t>z</m:t>
                </m:r>
              </m:sub>
              <m:sup>
                <m:r>
                  <w:rPr>
                    <w:rFonts w:ascii="Cambria Math" w:hAnsi="Cambria Math" w:cstheme="minorEastAsia"/>
                    <w:szCs w:val="21"/>
                  </w:rPr>
                  <m:t>2</m:t>
                </m:r>
              </m:sup>
            </m:sSubSup>
            <m:r>
              <w:rPr>
                <w:rFonts w:ascii="Cambria Math" w:hAnsi="Cambria Math" w:cstheme="minorEastAsia"/>
                <w:szCs w:val="21"/>
              </w:rPr>
              <m:t>+</m:t>
            </m:r>
            <m:sSubSup>
              <m:sSubSupPr>
                <m:ctrlPr>
                  <w:rPr>
                    <w:rFonts w:ascii="Cambria Math" w:hAnsi="Cambria Math" w:cstheme="minorEastAsia"/>
                    <w:i/>
                    <w:szCs w:val="21"/>
                  </w:rPr>
                </m:ctrlPr>
              </m:sSubSupPr>
              <m:e>
                <m:r>
                  <w:rPr>
                    <w:rFonts w:ascii="Cambria Math" w:hAnsi="Cambria Math" w:cstheme="minorEastAsia"/>
                    <w:szCs w:val="21"/>
                  </w:rPr>
                  <m:t>u</m:t>
                </m:r>
              </m:e>
              <m:sub>
                <m:r>
                  <w:rPr>
                    <w:rFonts w:ascii="Cambria Math" w:hAnsi="Cambria Math" w:cstheme="minorEastAsia"/>
                    <w:szCs w:val="21"/>
                  </w:rPr>
                  <m:t>3</m:t>
                </m:r>
              </m:sub>
              <m:sup>
                <m:r>
                  <w:rPr>
                    <w:rFonts w:ascii="Cambria Math" w:hAnsi="Cambria Math" w:cstheme="minorEastAsia"/>
                    <w:szCs w:val="21"/>
                  </w:rPr>
                  <m:t>2</m:t>
                </m:r>
              </m:sup>
            </m:sSubSup>
          </m:e>
        </m:rad>
      </m:oMath>
      <w:r w:rsidR="00AC4EA6">
        <w:rPr>
          <w:rFonts w:ascii="宋体" w:hAnsi="宋体" w:cstheme="minorEastAsia" w:hint="eastAsia"/>
          <w:szCs w:val="21"/>
        </w:rPr>
        <w:t>=</w:t>
      </w:r>
      <w:r w:rsidR="00AC4EA6">
        <w:rPr>
          <w:rFonts w:ascii="宋体" w:hAnsi="宋体" w:cstheme="minorEastAsia" w:hint="eastAsia"/>
          <w:position w:val="-8"/>
          <w:szCs w:val="21"/>
        </w:rPr>
        <w:object w:dxaOrig="2280" w:dyaOrig="420">
          <v:shape id="_x0000_i1030" type="#_x0000_t75" style="width:114pt;height:21pt" o:ole="">
            <v:imagedata r:id="rId18" o:title=""/>
          </v:shape>
          <o:OLEObject Type="Embed" ProgID="Equation.3" ShapeID="_x0000_i1030" DrawAspect="Content" ObjectID="_1709216677" r:id="rId19"/>
        </w:object>
      </w:r>
      <w:r w:rsidR="00AC4EA6">
        <w:rPr>
          <w:rFonts w:ascii="宋体" w:hAnsi="宋体" w:cstheme="minorEastAsia" w:hint="eastAsia"/>
          <w:szCs w:val="21"/>
        </w:rPr>
        <w:t>=0.0173kg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五、扩展标准不确定度的评定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取置信概率p</w:t>
      </w:r>
      <w:r>
        <w:rPr>
          <w:rFonts w:ascii="宋体" w:hAnsi="宋体" w:cstheme="minorEastAsia"/>
          <w:szCs w:val="21"/>
        </w:rPr>
        <w:t>=95%,k=2</w:t>
      </w:r>
      <w:r>
        <w:rPr>
          <w:rFonts w:ascii="宋体" w:hAnsi="宋体" w:cstheme="minorEastAsia" w:hint="eastAsia"/>
          <w:szCs w:val="21"/>
        </w:rPr>
        <w:t>,所以</w:t>
      </w:r>
      <w:r>
        <w:rPr>
          <w:rFonts w:ascii="宋体" w:hAnsi="宋体" w:cstheme="minorEastAsia" w:hint="eastAsia"/>
          <w:position w:val="-8"/>
          <w:szCs w:val="21"/>
        </w:rPr>
        <w:t>U</w:t>
      </w:r>
      <w:r>
        <w:rPr>
          <w:rFonts w:ascii="宋体" w:hAnsi="宋体" w:cstheme="minorEastAsia" w:hint="eastAsia"/>
          <w:szCs w:val="21"/>
        </w:rPr>
        <w:t>=</w:t>
      </w:r>
      <w:r>
        <w:rPr>
          <w:rFonts w:ascii="宋体" w:hAnsi="宋体" w:cstheme="minorEastAsia"/>
          <w:szCs w:val="21"/>
        </w:rPr>
        <w:t>2</w:t>
      </w:r>
      <w:r>
        <w:rPr>
          <w:rFonts w:ascii="宋体" w:hAnsi="宋体" w:cstheme="minorEastAsia" w:hint="eastAsia"/>
          <w:szCs w:val="21"/>
        </w:rPr>
        <w:t>×0</w:t>
      </w:r>
      <w:r>
        <w:rPr>
          <w:rFonts w:ascii="宋体" w:hAnsi="宋体" w:cstheme="minorEastAsia"/>
          <w:szCs w:val="21"/>
        </w:rPr>
        <w:t>.0</w:t>
      </w:r>
      <w:r>
        <w:rPr>
          <w:rFonts w:ascii="宋体" w:hAnsi="宋体" w:cstheme="minorEastAsia" w:hint="eastAsia"/>
          <w:szCs w:val="21"/>
        </w:rPr>
        <w:t>173=</w:t>
      </w:r>
      <w:r>
        <w:rPr>
          <w:rFonts w:ascii="宋体" w:hAnsi="宋体" w:cstheme="minorEastAsia"/>
          <w:szCs w:val="21"/>
        </w:rPr>
        <w:t>0.</w:t>
      </w:r>
      <w:r>
        <w:rPr>
          <w:rFonts w:ascii="宋体" w:hAnsi="宋体" w:cstheme="minorEastAsia" w:hint="eastAsia"/>
          <w:szCs w:val="21"/>
        </w:rPr>
        <w:t>0346</w:t>
      </w:r>
      <w:r>
        <w:rPr>
          <w:rFonts w:ascii="宋体" w:hAnsi="宋体" w:cstheme="minorEastAsia"/>
          <w:szCs w:val="21"/>
        </w:rPr>
        <w:t>kg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cstheme="minorEastAsia" w:hint="eastAsia"/>
          <w:szCs w:val="21"/>
        </w:rPr>
        <w:t>六、评定结论：</w:t>
      </w:r>
    </w:p>
    <w:p w:rsidR="00406007" w:rsidRDefault="00AC4EA6">
      <w:pPr>
        <w:spacing w:line="324" w:lineRule="auto"/>
        <w:ind w:left="422"/>
        <w:rPr>
          <w:rFonts w:ascii="宋体" w:hAnsi="宋体" w:cstheme="minorEastAsia"/>
          <w:szCs w:val="21"/>
        </w:rPr>
      </w:pPr>
      <w:r>
        <w:rPr>
          <w:rFonts w:ascii="宋体" w:hAnsi="宋体" w:hint="eastAsia"/>
          <w:szCs w:val="21"/>
        </w:rPr>
        <w:t>聚丙烯定量包装测量过程测量不确定度评定得到的扩展不确定度为</w:t>
      </w:r>
      <w:r>
        <w:rPr>
          <w:rFonts w:ascii="宋体" w:hAnsi="宋体" w:cstheme="minorEastAsia" w:hint="eastAsia"/>
          <w:szCs w:val="21"/>
        </w:rPr>
        <w:t>U</w:t>
      </w:r>
      <w:r>
        <w:rPr>
          <w:rFonts w:ascii="宋体" w:hAnsi="宋体" w:cstheme="minorEastAsia"/>
          <w:szCs w:val="21"/>
          <w:vertAlign w:val="subscript"/>
        </w:rPr>
        <w:t>95</w:t>
      </w:r>
      <w:r>
        <w:rPr>
          <w:rFonts w:ascii="宋体" w:hAnsi="宋体" w:cstheme="minorEastAsia" w:hint="eastAsia"/>
          <w:szCs w:val="21"/>
        </w:rPr>
        <w:t>=</w:t>
      </w:r>
      <w:r>
        <w:rPr>
          <w:rFonts w:ascii="宋体" w:hAnsi="宋体" w:cstheme="minorEastAsia"/>
          <w:szCs w:val="21"/>
        </w:rPr>
        <w:t>0.0</w:t>
      </w:r>
      <w:r>
        <w:rPr>
          <w:rFonts w:ascii="宋体" w:hAnsi="宋体" w:cstheme="minorEastAsia" w:hint="eastAsia"/>
          <w:szCs w:val="21"/>
        </w:rPr>
        <w:t>3</w:t>
      </w:r>
      <w:r>
        <w:rPr>
          <w:rFonts w:ascii="宋体" w:hAnsi="宋体" w:cstheme="minorEastAsia"/>
          <w:szCs w:val="21"/>
        </w:rPr>
        <w:t>kg</w:t>
      </w:r>
      <w:r>
        <w:rPr>
          <w:rFonts w:ascii="宋体" w:hAnsi="宋体" w:cstheme="minorEastAsia" w:hint="eastAsia"/>
          <w:szCs w:val="21"/>
        </w:rPr>
        <w:t>，其中k</w:t>
      </w:r>
      <w:r>
        <w:rPr>
          <w:rFonts w:ascii="宋体" w:hAnsi="宋体" w:cstheme="minorEastAsia"/>
          <w:szCs w:val="21"/>
        </w:rPr>
        <w:t>=2</w:t>
      </w:r>
      <w:r>
        <w:rPr>
          <w:rFonts w:ascii="宋体" w:hAnsi="宋体" w:cstheme="minorEastAsia" w:hint="eastAsia"/>
          <w:szCs w:val="21"/>
        </w:rPr>
        <w:t>,满足单包最大允许误差小于</w:t>
      </w:r>
      <w:r w:rsidR="00E10B30">
        <w:rPr>
          <w:rFonts w:ascii="宋体" w:hAnsi="宋体" w:cstheme="minorEastAsia" w:hint="eastAsia"/>
          <w:szCs w:val="21"/>
        </w:rPr>
        <w:t>1</w:t>
      </w:r>
      <w:r>
        <w:rPr>
          <w:rFonts w:ascii="宋体" w:hAnsi="宋体" w:cstheme="minorEastAsia" w:hint="eastAsia"/>
          <w:szCs w:val="21"/>
        </w:rPr>
        <w:t>50克的管理要求。</w:t>
      </w:r>
    </w:p>
    <w:p w:rsidR="00406007" w:rsidRDefault="00406007">
      <w:pPr>
        <w:spacing w:line="324" w:lineRule="auto"/>
        <w:ind w:left="422"/>
        <w:rPr>
          <w:rFonts w:ascii="宋体" w:hAnsi="宋体" w:cstheme="minorEastAsia"/>
          <w:szCs w:val="21"/>
        </w:rPr>
      </w:pPr>
    </w:p>
    <w:p w:rsidR="00406007" w:rsidRDefault="00406007">
      <w:pPr>
        <w:spacing w:line="324" w:lineRule="auto"/>
        <w:ind w:left="422"/>
        <w:rPr>
          <w:rFonts w:ascii="宋体" w:hAnsi="宋体" w:cstheme="minorEastAsia"/>
          <w:szCs w:val="21"/>
        </w:rPr>
      </w:pPr>
    </w:p>
    <w:p w:rsidR="00406007" w:rsidRDefault="00406007">
      <w:pPr>
        <w:spacing w:line="324" w:lineRule="auto"/>
        <w:ind w:left="422"/>
        <w:rPr>
          <w:rFonts w:ascii="宋体" w:hAnsi="宋体" w:cstheme="minorEastAsia"/>
          <w:szCs w:val="21"/>
        </w:rPr>
      </w:pPr>
    </w:p>
    <w:sectPr w:rsidR="0040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A4" w:rsidRDefault="004A0BA4" w:rsidP="00E10B30">
      <w:r>
        <w:separator/>
      </w:r>
    </w:p>
  </w:endnote>
  <w:endnote w:type="continuationSeparator" w:id="0">
    <w:p w:rsidR="004A0BA4" w:rsidRDefault="004A0BA4" w:rsidP="00E1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A4" w:rsidRDefault="004A0BA4" w:rsidP="00E10B30">
      <w:r>
        <w:separator/>
      </w:r>
    </w:p>
  </w:footnote>
  <w:footnote w:type="continuationSeparator" w:id="0">
    <w:p w:rsidR="004A0BA4" w:rsidRDefault="004A0BA4" w:rsidP="00E1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F7"/>
    <w:rsid w:val="00046E56"/>
    <w:rsid w:val="000736BF"/>
    <w:rsid w:val="00094EA3"/>
    <w:rsid w:val="00151A25"/>
    <w:rsid w:val="001A502A"/>
    <w:rsid w:val="002B73DD"/>
    <w:rsid w:val="002C0C0F"/>
    <w:rsid w:val="0032638B"/>
    <w:rsid w:val="003703D8"/>
    <w:rsid w:val="00382825"/>
    <w:rsid w:val="00391CC1"/>
    <w:rsid w:val="00405FF3"/>
    <w:rsid w:val="00406007"/>
    <w:rsid w:val="004715BA"/>
    <w:rsid w:val="004A0BA4"/>
    <w:rsid w:val="004A37FB"/>
    <w:rsid w:val="00545FC8"/>
    <w:rsid w:val="00561636"/>
    <w:rsid w:val="0058182E"/>
    <w:rsid w:val="005A63C2"/>
    <w:rsid w:val="006536AC"/>
    <w:rsid w:val="0067123B"/>
    <w:rsid w:val="00701DDF"/>
    <w:rsid w:val="00727674"/>
    <w:rsid w:val="00821A20"/>
    <w:rsid w:val="00850EC7"/>
    <w:rsid w:val="00912C51"/>
    <w:rsid w:val="00920643"/>
    <w:rsid w:val="009371BB"/>
    <w:rsid w:val="009B12C6"/>
    <w:rsid w:val="00A05A96"/>
    <w:rsid w:val="00A51D6F"/>
    <w:rsid w:val="00A57D1F"/>
    <w:rsid w:val="00A84CC9"/>
    <w:rsid w:val="00A91415"/>
    <w:rsid w:val="00AC4EA6"/>
    <w:rsid w:val="00B7559D"/>
    <w:rsid w:val="00C4551A"/>
    <w:rsid w:val="00CE1BC3"/>
    <w:rsid w:val="00CE6DBA"/>
    <w:rsid w:val="00D67152"/>
    <w:rsid w:val="00D85574"/>
    <w:rsid w:val="00E06920"/>
    <w:rsid w:val="00E10B30"/>
    <w:rsid w:val="00E51DD1"/>
    <w:rsid w:val="00E62C1C"/>
    <w:rsid w:val="00E76843"/>
    <w:rsid w:val="00F71AD6"/>
    <w:rsid w:val="00FC0CF7"/>
    <w:rsid w:val="1515678A"/>
    <w:rsid w:val="3E153CB2"/>
    <w:rsid w:val="45F1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D0203F-A8A2-4159-AB20-38E161CE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character" w:styleId="a5">
    <w:name w:val="Placeholder Text"/>
    <w:basedOn w:val="a0"/>
    <w:uiPriority w:val="99"/>
    <w:semiHidden/>
    <w:qFormat/>
    <w:rPr>
      <w:color w:val="808080"/>
    </w:rPr>
  </w:style>
  <w:style w:type="paragraph" w:styleId="a6">
    <w:name w:val="header"/>
    <w:basedOn w:val="a"/>
    <w:link w:val="Char"/>
    <w:uiPriority w:val="99"/>
    <w:unhideWhenUsed/>
    <w:rsid w:val="00E10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10B3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10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10B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1108</Characters>
  <Application>Microsoft Office Word</Application>
  <DocSecurity>0</DocSecurity>
  <Lines>9</Lines>
  <Paragraphs>2</Paragraphs>
  <ScaleCrop>false</ScaleCrop>
  <Company>Sinopec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824419578@qq.com</dc:creator>
  <cp:lastModifiedBy>徐建军</cp:lastModifiedBy>
  <cp:revision>3</cp:revision>
  <dcterms:created xsi:type="dcterms:W3CDTF">2022-03-19T08:37:00Z</dcterms:created>
  <dcterms:modified xsi:type="dcterms:W3CDTF">2022-03-19T09:36:00Z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