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1324-2021-Q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天津金德莱精密机械有限公司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天津金德莱精密机械有限公司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天津市武清区梅厂镇福源经济区发源路6号</w:t>
            </w:r>
            <w:bookmarkEnd w:id="6"/>
          </w:p>
        </w:tc>
        <w:tc>
          <w:tcPr>
            <w:tcW w:w="1242" w:type="dxa"/>
            <w:vMerge w:val="restart"/>
            <w:vAlign w:val="center"/>
          </w:tcPr>
          <w:p>
            <w:r>
              <w:rPr>
                <w:rFonts w:hint="eastAsia"/>
              </w:rPr>
              <w:t>邮编</w:t>
            </w:r>
          </w:p>
        </w:tc>
        <w:tc>
          <w:tcPr>
            <w:tcW w:w="1771" w:type="dxa"/>
          </w:tcPr>
          <w:p>
            <w:bookmarkStart w:id="7" w:name="注册邮编"/>
            <w:r>
              <w:t>301700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天津市东丽区华明镇弘泰道12号国家电网平高集团院内</w:t>
            </w:r>
            <w:bookmarkEnd w:id="8"/>
          </w:p>
        </w:tc>
        <w:tc>
          <w:tcPr>
            <w:tcW w:w="1242" w:type="dxa"/>
            <w:vMerge w:val="continue"/>
            <w:vAlign w:val="center"/>
          </w:tcPr>
          <w:p/>
        </w:tc>
        <w:tc>
          <w:tcPr>
            <w:tcW w:w="1771" w:type="dxa"/>
          </w:tcPr>
          <w:p>
            <w:bookmarkStart w:id="9" w:name="办公邮编"/>
            <w:r>
              <w:t>300000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段振红</w:t>
            </w:r>
            <w:bookmarkEnd w:id="10"/>
          </w:p>
        </w:tc>
        <w:tc>
          <w:tcPr>
            <w:tcW w:w="1313" w:type="dxa"/>
            <w:vAlign w:val="center"/>
          </w:tcPr>
          <w:p>
            <w:r>
              <w:rPr>
                <w:rFonts w:hint="eastAsia"/>
              </w:rPr>
              <w:t>电话.</w:t>
            </w:r>
          </w:p>
        </w:tc>
        <w:tc>
          <w:tcPr>
            <w:tcW w:w="2180" w:type="dxa"/>
            <w:vAlign w:val="center"/>
          </w:tcPr>
          <w:p>
            <w:bookmarkStart w:id="11" w:name="联系人电话"/>
            <w:r>
              <w:t>13821555979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王蕊</w:t>
            </w:r>
            <w:bookmarkEnd w:id="13"/>
          </w:p>
        </w:tc>
        <w:tc>
          <w:tcPr>
            <w:tcW w:w="1313" w:type="dxa"/>
            <w:vAlign w:val="center"/>
          </w:tcPr>
          <w:p>
            <w:r>
              <w:rPr>
                <w:rFonts w:hint="eastAsia"/>
              </w:rPr>
              <w:t>管理者代表</w:t>
            </w:r>
          </w:p>
        </w:tc>
        <w:tc>
          <w:tcPr>
            <w:tcW w:w="2180" w:type="dxa"/>
          </w:tcPr>
          <w:p>
            <w:bookmarkStart w:id="14" w:name="管理者代表"/>
            <w:r>
              <w:t>陈楠</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FF"/>
                <w:szCs w:val="21"/>
                <w:lang w:val="en-US" w:eastAsia="zh-CN"/>
              </w:rPr>
            </w:pPr>
            <w:r>
              <w:rPr>
                <w:rFonts w:hint="eastAsia"/>
                <w:color w:val="0000FF"/>
                <w:szCs w:val="21"/>
                <w:lang w:val="en-US" w:eastAsia="zh-CN"/>
              </w:rPr>
              <w:t>检查产品毛坯有无缺陷-产品挂件-药液处理(水洗，除油，水洗，除锈，水洗，磷化镀膜，水洗)-吹水-烘干-喷粉-固化-全检-下件-全检-包装-发货</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2021年12月24日 上午至2021年12月25日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喷涂加工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天津市武清区梅厂镇福源经济区发源路6号</w:t>
            </w:r>
          </w:p>
        </w:tc>
        <w:tc>
          <w:tcPr>
            <w:tcW w:w="2267" w:type="dxa"/>
            <w:vAlign w:val="top"/>
          </w:tcPr>
          <w:p>
            <w:pPr>
              <w:rPr>
                <w:color w:val="000000"/>
              </w:rPr>
            </w:pPr>
            <w:r>
              <w:rPr>
                <w:sz w:val="21"/>
                <w:szCs w:val="21"/>
              </w:rPr>
              <w:t>天津市东丽区华明镇弘泰道12号国家电网平高集团院内</w:t>
            </w:r>
          </w:p>
          <w:p>
            <w:pPr>
              <w:spacing w:before="40" w:after="40"/>
              <w:rPr>
                <w:rFonts w:ascii="Times New Roman" w:hAnsi="Times New Roman" w:eastAsia="黑体" w:cs="Times New Roman"/>
                <w:kern w:val="2"/>
                <w:sz w:val="21"/>
                <w:szCs w:val="21"/>
                <w:lang w:val="de-DE" w:eastAsia="ja-JP" w:bidi="ar-SA"/>
              </w:rPr>
            </w:pP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803" w:type="dxa"/>
            <w:vAlign w:val="center"/>
          </w:tcPr>
          <w:p>
            <w:pPr>
              <w:pStyle w:val="22"/>
              <w:rPr>
                <w:rFonts w:ascii="Times New Roman" w:hAnsi="Times New Roman" w:eastAsia="黑体" w:cs="Arial"/>
                <w:kern w:val="2"/>
                <w:sz w:val="21"/>
                <w:szCs w:val="21"/>
                <w:lang w:val="en-US" w:eastAsia="ja-JP" w:bidi="ar-SA"/>
              </w:rPr>
            </w:pPr>
            <w:r>
              <w:rPr>
                <w:rFonts w:hint="eastAsia" w:ascii="宋体" w:hAnsi="宋体"/>
                <w:b/>
                <w:color w:val="000000"/>
                <w:szCs w:val="21"/>
                <w:lang w:val="en-US" w:eastAsia="zh-CN"/>
              </w:rPr>
              <w:t>喷涂加工</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刘红杰</w:t>
            </w:r>
          </w:p>
        </w:tc>
        <w:tc>
          <w:tcPr>
            <w:tcW w:w="1089" w:type="dxa"/>
            <w:vAlign w:val="center"/>
          </w:tcPr>
          <w:p>
            <w:r>
              <w:t>组长</w:t>
            </w:r>
          </w:p>
        </w:tc>
        <w:tc>
          <w:tcPr>
            <w:tcW w:w="711" w:type="dxa"/>
            <w:vAlign w:val="center"/>
          </w:tcPr>
          <w:p>
            <w:r>
              <w:t>男</w:t>
            </w:r>
          </w:p>
        </w:tc>
        <w:tc>
          <w:tcPr>
            <w:tcW w:w="3870" w:type="dxa"/>
            <w:vAlign w:val="center"/>
          </w:tcPr>
          <w:p>
            <w:r>
              <w:t>2021-N1QMS-1281767</w:t>
            </w:r>
          </w:p>
        </w:tc>
        <w:tc>
          <w:tcPr>
            <w:tcW w:w="2179" w:type="dxa"/>
            <w:vAlign w:val="center"/>
          </w:tcPr>
          <w:p>
            <w:r>
              <w:t>17.10.01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Pr>
        <w:rPr>
          <w:rFonts w:hint="eastAsia" w:eastAsia="宋体"/>
          <w:lang w:eastAsia="zh-CN"/>
        </w:rPr>
      </w:pPr>
      <w:r>
        <w:rPr>
          <w:rFonts w:hint="eastAsia" w:eastAsia="宋体"/>
          <w:lang w:eastAsia="zh-CN"/>
        </w:rPr>
        <w:drawing>
          <wp:inline distT="0" distB="0" distL="114300" distR="114300">
            <wp:extent cx="6156960" cy="8860155"/>
            <wp:effectExtent l="0" t="0" r="0" b="9525"/>
            <wp:docPr id="1" name="图片 1" descr="扫描全能王 2021-12-25 14.3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2-25 14.35_7"/>
                    <pic:cNvPicPr>
                      <a:picLocks noChangeAspect="1"/>
                    </pic:cNvPicPr>
                  </pic:nvPicPr>
                  <pic:blipFill>
                    <a:blip r:embed="rId6"/>
                    <a:stretch>
                      <a:fillRect/>
                    </a:stretch>
                  </pic:blipFill>
                  <pic:spPr>
                    <a:xfrm>
                      <a:off x="0" y="0"/>
                      <a:ext cx="6156960" cy="8860155"/>
                    </a:xfrm>
                    <a:prstGeom prst="rect">
                      <a:avLst/>
                    </a:prstGeom>
                  </pic:spPr>
                </pic:pic>
              </a:graphicData>
            </a:graphic>
          </wp:inline>
        </w:drawing>
      </w: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工艺□设备</w:t>
                  </w:r>
                  <w:r>
                    <w:rPr>
                      <w:rFonts w:hint="eastAsia"/>
                    </w:rPr>
                    <w:sym w:font="Wingdings 2" w:char="0052"/>
                  </w:r>
                  <w:r>
                    <w:rPr>
                      <w:rFonts w:hint="eastAsia"/>
                    </w:rPr>
                    <w:t>人员能力</w:t>
                  </w:r>
                  <w:r>
                    <w:rPr>
                      <w:rFonts w:hint="eastAsia"/>
                    </w:rPr>
                    <w:sym w:font="Wingdings 2" w:char="0052"/>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color w:val="000000"/>
                <w:szCs w:val="18"/>
              </w:rPr>
              <w:t>质量</w:t>
            </w:r>
            <w:r>
              <w:rPr>
                <w:rFonts w:hint="eastAsia"/>
                <w:color w:val="000000"/>
                <w:szCs w:val="18"/>
                <w:lang w:val="en-US" w:eastAsia="zh-CN"/>
              </w:rPr>
              <w:t>第一</w:t>
            </w:r>
            <w:r>
              <w:rPr>
                <w:rFonts w:hint="eastAsia"/>
                <w:color w:val="000000"/>
                <w:szCs w:val="18"/>
              </w:rPr>
              <w:t>，顾客</w:t>
            </w:r>
            <w:r>
              <w:rPr>
                <w:rFonts w:hint="eastAsia"/>
                <w:color w:val="000000"/>
                <w:szCs w:val="18"/>
                <w:lang w:val="en-US" w:eastAsia="zh-CN"/>
              </w:rPr>
              <w:t>至上</w:t>
            </w:r>
            <w:r>
              <w:rPr>
                <w:rFonts w:hint="eastAsia"/>
                <w:color w:val="000000"/>
                <w:szCs w:val="18"/>
              </w:rPr>
              <w:t>；诚信经营，</w:t>
            </w:r>
            <w:r>
              <w:rPr>
                <w:rFonts w:hint="eastAsia"/>
                <w:color w:val="000000"/>
                <w:szCs w:val="18"/>
                <w:lang w:val="en-US" w:eastAsia="zh-CN"/>
              </w:rPr>
              <w:t>不断</w:t>
            </w:r>
            <w:r>
              <w:rPr>
                <w:rFonts w:hint="eastAsia"/>
                <w:color w:val="000000"/>
                <w:szCs w:val="18"/>
              </w:rPr>
              <w:t>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管理层，办公室，生技部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rPr>
                    <w:t>计划制定不合理，导致无法按时完成计划任务，从而延误产品交付</w:t>
                  </w:r>
                </w:p>
              </w:tc>
              <w:tc>
                <w:tcPr>
                  <w:tcW w:w="3965" w:type="dxa"/>
                  <w:vAlign w:val="top"/>
                </w:tcPr>
                <w:p>
                  <w:pPr>
                    <w:shd w:val="clear" w:color="auto" w:fill="C7DAF1" w:themeFill="text2" w:themeFillTint="32"/>
                    <w:rPr>
                      <w:rFonts w:hint="eastAsia"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rPr>
                    <w:t>1.合理计算公司的实际产能。2.依据产品特点和本公司的实际产能合理安排生产计划。3.安排跟单员全程跟进生产计划的实现过程。</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顾客服务不到位，导致.顾客投诉未能有效解决，顾客满意度低，部分顾客丢失</w:t>
                  </w:r>
                </w:p>
              </w:tc>
              <w:tc>
                <w:tcPr>
                  <w:tcW w:w="3965" w:type="dxa"/>
                  <w:vAlign w:val="top"/>
                </w:tcPr>
                <w:p>
                  <w:pPr>
                    <w:shd w:val="clear" w:color="auto" w:fill="C7DAF1" w:themeFill="text2" w:themeFillTint="32"/>
                    <w:rPr>
                      <w:rFonts w:hint="eastAsia"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对所接到的客户投诉登记汇总，安排专业人员负责处理、实施专业的“一站到底式”服务，力争将问题化解为零并使顾客满意。一月一回访、一季一培训”方式，从外部到内部进行优化管理</w:t>
                  </w:r>
                </w:p>
              </w:tc>
              <w:tc>
                <w:tcPr>
                  <w:tcW w:w="1717" w:type="dxa"/>
                  <w:vAlign w:val="top"/>
                </w:tcPr>
                <w:p>
                  <w:pPr>
                    <w:shd w:val="clear" w:color="auto" w:fill="C7DAF1" w:themeFill="text2" w:themeFillTint="32"/>
                    <w:rPr>
                      <w:rFonts w:hint="default" w:ascii="Times New Roman" w:hAnsi="Times New Roman" w:eastAsia="宋体" w:cs="Times New Roman"/>
                      <w:color w:val="auto"/>
                      <w:kern w:val="2"/>
                      <w:sz w:val="21"/>
                      <w:szCs w:val="24"/>
                      <w:u w:val="none"/>
                      <w:lang w:val="en-US" w:eastAsia="zh-CN" w:bidi="ar-SA"/>
                    </w:rPr>
                  </w:pPr>
                  <w:r>
                    <w:rPr>
                      <w:rFonts w:hint="eastAsia" w:ascii="Times New Roman" w:hAnsi="Times New Roman" w:eastAsia="宋体" w:cs="Times New Roman"/>
                      <w:color w:val="auto"/>
                      <w:u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tabs>
                      <w:tab w:val="left" w:pos="630"/>
                    </w:tabs>
                    <w:spacing w:line="440" w:lineRule="exact"/>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产品一次交验合格率≥9</w:t>
                  </w:r>
                  <w:r>
                    <w:rPr>
                      <w:rFonts w:hint="eastAsia"/>
                      <w:color w:val="000000"/>
                      <w:szCs w:val="18"/>
                      <w:lang w:val="en-US" w:eastAsia="zh-CN"/>
                    </w:rPr>
                    <w:t>8</w:t>
                  </w:r>
                  <w:r>
                    <w:rPr>
                      <w:rFonts w:hint="eastAsia"/>
                      <w:color w:val="000000"/>
                      <w:szCs w:val="18"/>
                    </w:rPr>
                    <w:t>%</w:t>
                  </w:r>
                </w:p>
              </w:tc>
              <w:tc>
                <w:tcPr>
                  <w:tcW w:w="3136" w:type="dxa"/>
                  <w:shd w:val="clear" w:color="auto" w:fill="auto"/>
                  <w:vAlign w:val="top"/>
                </w:tcPr>
                <w:p>
                  <w:pPr>
                    <w:tabs>
                      <w:tab w:val="left" w:pos="630"/>
                    </w:tabs>
                    <w:spacing w:line="440" w:lineRule="exact"/>
                    <w:jc w:val="left"/>
                    <w:rPr>
                      <w:rFonts w:hint="default" w:ascii="Times New Roman" w:hAnsi="Times New Roman" w:eastAsia="宋体" w:cs="Times New Roman"/>
                      <w:color w:val="000000"/>
                      <w:kern w:val="2"/>
                      <w:sz w:val="21"/>
                      <w:szCs w:val="18"/>
                      <w:lang w:val="en-GB" w:eastAsia="zh-CN" w:bidi="ar-SA"/>
                    </w:rPr>
                  </w:pPr>
                  <w:r>
                    <w:rPr>
                      <w:rFonts w:hint="eastAsia"/>
                      <w:color w:val="000000"/>
                      <w:szCs w:val="18"/>
                    </w:rPr>
                    <w:t>（合格数/检验总数）×100%</w:t>
                  </w:r>
                </w:p>
              </w:tc>
              <w:tc>
                <w:tcPr>
                  <w:tcW w:w="1350" w:type="dxa"/>
                  <w:shd w:val="clear" w:color="auto" w:fill="auto"/>
                  <w:vAlign w:val="top"/>
                </w:tcPr>
                <w:p>
                  <w:pPr>
                    <w:tabs>
                      <w:tab w:val="left" w:pos="630"/>
                    </w:tabs>
                    <w:spacing w:line="440" w:lineRule="exact"/>
                    <w:jc w:val="left"/>
                    <w:rPr>
                      <w:rFonts w:hint="default" w:ascii="Times New Roman" w:hAnsi="Times New Roman" w:eastAsia="宋体" w:cs="Times New Roman"/>
                      <w:color w:val="000000"/>
                      <w:kern w:val="2"/>
                      <w:sz w:val="21"/>
                      <w:szCs w:val="18"/>
                      <w:lang w:val="en-US" w:eastAsia="zh-CN" w:bidi="ar-SA"/>
                    </w:rPr>
                  </w:pPr>
                  <w:r>
                    <w:rPr>
                      <w:rFonts w:hint="eastAsia" w:cs="Times New Roman"/>
                      <w:color w:val="000000"/>
                      <w:kern w:val="2"/>
                      <w:sz w:val="21"/>
                      <w:szCs w:val="18"/>
                      <w:lang w:val="en-US" w:eastAsia="zh-CN" w:bidi="ar-SA"/>
                    </w:rPr>
                    <w:t>生技部</w:t>
                  </w:r>
                </w:p>
              </w:tc>
              <w:tc>
                <w:tcPr>
                  <w:tcW w:w="1774" w:type="dxa"/>
                  <w:shd w:val="clear" w:color="auto" w:fill="auto"/>
                  <w:vAlign w:val="top"/>
                </w:tcPr>
                <w:p>
                  <w:pPr>
                    <w:tabs>
                      <w:tab w:val="left" w:pos="630"/>
                    </w:tabs>
                    <w:spacing w:line="440" w:lineRule="exact"/>
                    <w:jc w:val="left"/>
                    <w:rPr>
                      <w:rFonts w:hint="eastAsia" w:ascii="Times New Roman" w:hAnsi="Times New Roman" w:eastAsia="宋体" w:cs="Times New Roman"/>
                      <w:color w:val="000000"/>
                      <w:kern w:val="2"/>
                      <w:sz w:val="21"/>
                      <w:szCs w:val="18"/>
                      <w:lang w:val="en-GB" w:eastAsia="zh-CN" w:bidi="ar-SA"/>
                    </w:rPr>
                  </w:pPr>
                  <w:r>
                    <w:rPr>
                      <w:rFonts w:hint="eastAsia"/>
                      <w:color w:val="000000"/>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tabs>
                      <w:tab w:val="left" w:pos="630"/>
                    </w:tabs>
                    <w:spacing w:line="440" w:lineRule="exact"/>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顾客满意率≥9</w:t>
                  </w:r>
                  <w:r>
                    <w:rPr>
                      <w:rFonts w:hint="eastAsia"/>
                      <w:color w:val="000000"/>
                      <w:szCs w:val="18"/>
                      <w:lang w:val="en-US" w:eastAsia="zh-CN"/>
                    </w:rPr>
                    <w:t>8</w:t>
                  </w:r>
                  <w:r>
                    <w:rPr>
                      <w:rFonts w:hint="eastAsia"/>
                      <w:color w:val="000000"/>
                      <w:szCs w:val="18"/>
                    </w:rPr>
                    <w:t>%</w:t>
                  </w:r>
                </w:p>
              </w:tc>
              <w:tc>
                <w:tcPr>
                  <w:tcW w:w="3136" w:type="dxa"/>
                  <w:shd w:val="clear" w:color="auto" w:fill="auto"/>
                  <w:vAlign w:val="top"/>
                </w:tcPr>
                <w:p>
                  <w:pPr>
                    <w:tabs>
                      <w:tab w:val="left" w:pos="630"/>
                    </w:tabs>
                    <w:spacing w:line="440" w:lineRule="exact"/>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lang w:val="en-US" w:eastAsia="zh-CN"/>
                    </w:rPr>
                    <w:t>百分制，</w:t>
                  </w:r>
                  <w:r>
                    <w:rPr>
                      <w:rFonts w:hint="eastAsia"/>
                      <w:color w:val="000000"/>
                      <w:szCs w:val="18"/>
                    </w:rPr>
                    <w:t>顾客满意率从以下5个方面</w:t>
                  </w:r>
                  <w:r>
                    <w:rPr>
                      <w:rFonts w:hint="eastAsia"/>
                      <w:color w:val="000000"/>
                      <w:szCs w:val="18"/>
                      <w:lang w:eastAsia="zh-CN"/>
                    </w:rPr>
                    <w:t>（</w:t>
                  </w:r>
                  <w:r>
                    <w:rPr>
                      <w:rFonts w:hint="eastAsia"/>
                      <w:color w:val="000000"/>
                      <w:szCs w:val="18"/>
                    </w:rPr>
                    <w:t>a.产品质量 b.产品价格 c.售后服务d.交货期 e.诚信服务</w:t>
                  </w:r>
                  <w:r>
                    <w:rPr>
                      <w:rFonts w:hint="eastAsia"/>
                      <w:color w:val="000000"/>
                      <w:szCs w:val="18"/>
                      <w:lang w:eastAsia="zh-CN"/>
                    </w:rPr>
                    <w:t>）</w:t>
                  </w:r>
                  <w:r>
                    <w:rPr>
                      <w:rFonts w:hint="eastAsia"/>
                      <w:color w:val="000000"/>
                      <w:szCs w:val="18"/>
                    </w:rPr>
                    <w:t>进行测量</w:t>
                  </w:r>
                  <w:r>
                    <w:rPr>
                      <w:rFonts w:hint="eastAsia"/>
                      <w:color w:val="000000"/>
                      <w:szCs w:val="18"/>
                      <w:lang w:val="en-US" w:eastAsia="zh-CN"/>
                    </w:rPr>
                    <w:t>总得分，总得分</w:t>
                  </w:r>
                  <w:r>
                    <w:rPr>
                      <w:rFonts w:hint="eastAsia"/>
                      <w:color w:val="000000"/>
                      <w:szCs w:val="18"/>
                    </w:rPr>
                    <w:t>≥9</w:t>
                  </w:r>
                  <w:r>
                    <w:rPr>
                      <w:rFonts w:hint="eastAsia"/>
                      <w:color w:val="000000"/>
                      <w:szCs w:val="18"/>
                      <w:lang w:val="en-US" w:eastAsia="zh-CN"/>
                    </w:rPr>
                    <w:t>8分为合格</w:t>
                  </w:r>
                </w:p>
              </w:tc>
              <w:tc>
                <w:tcPr>
                  <w:tcW w:w="1350" w:type="dxa"/>
                  <w:shd w:val="clear" w:color="auto" w:fill="auto"/>
                  <w:vAlign w:val="top"/>
                </w:tcPr>
                <w:p>
                  <w:pPr>
                    <w:tabs>
                      <w:tab w:val="left" w:pos="630"/>
                    </w:tabs>
                    <w:spacing w:line="440" w:lineRule="exact"/>
                    <w:jc w:val="left"/>
                    <w:rPr>
                      <w:rFonts w:hint="default" w:ascii="Times New Roman" w:hAnsi="Times New Roman" w:eastAsia="宋体" w:cs="Times New Roman"/>
                      <w:color w:val="000000"/>
                      <w:kern w:val="2"/>
                      <w:sz w:val="21"/>
                      <w:szCs w:val="18"/>
                      <w:lang w:val="en-US" w:eastAsia="zh-CN" w:bidi="ar-SA"/>
                    </w:rPr>
                  </w:pPr>
                  <w:r>
                    <w:rPr>
                      <w:rFonts w:hint="eastAsia" w:cs="Times New Roman"/>
                      <w:color w:val="000000"/>
                      <w:kern w:val="2"/>
                      <w:sz w:val="21"/>
                      <w:szCs w:val="18"/>
                      <w:lang w:val="en-US" w:eastAsia="zh-CN" w:bidi="ar-SA"/>
                    </w:rPr>
                    <w:t>办公室</w:t>
                  </w:r>
                </w:p>
              </w:tc>
              <w:tc>
                <w:tcPr>
                  <w:tcW w:w="1774" w:type="dxa"/>
                  <w:shd w:val="clear" w:color="auto" w:fill="auto"/>
                  <w:vAlign w:val="top"/>
                </w:tcPr>
                <w:p>
                  <w:pPr>
                    <w:tabs>
                      <w:tab w:val="left" w:pos="630"/>
                    </w:tabs>
                    <w:spacing w:line="440" w:lineRule="exact"/>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近1000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ascii="Times New Roman" w:hAnsi="Times New Roman" w:eastAsia="宋体" w:cs="Times New Roman"/>
              </w:rPr>
              <w:t>：明泉500米链条线体</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燃烧机 </w:t>
            </w:r>
            <w:r>
              <w:rPr>
                <w:rFonts w:hint="eastAsia" w:ascii="Times New Roman" w:hAnsi="Times New Roman" w:eastAsia="宋体" w:cs="Times New Roman"/>
                <w:lang w:eastAsia="zh-CN"/>
              </w:rPr>
              <w:t>、</w:t>
            </w:r>
            <w:r>
              <w:rPr>
                <w:rFonts w:hint="eastAsia" w:ascii="Times New Roman" w:hAnsi="Times New Roman" w:eastAsia="宋体" w:cs="Times New Roman"/>
              </w:rPr>
              <w:t>喷淋槽</w:t>
            </w:r>
            <w:r>
              <w:rPr>
                <w:rFonts w:hint="eastAsia" w:ascii="Times New Roman" w:hAnsi="Times New Roman" w:eastAsia="宋体" w:cs="Times New Roman"/>
                <w:lang w:eastAsia="zh-CN"/>
              </w:rPr>
              <w:t>、</w:t>
            </w:r>
            <w:r>
              <w:rPr>
                <w:rFonts w:hint="eastAsia" w:ascii="Times New Roman" w:hAnsi="Times New Roman" w:eastAsia="宋体" w:cs="Times New Roman"/>
              </w:rPr>
              <w:t>金马粉房</w:t>
            </w:r>
            <w:r>
              <w:rPr>
                <w:rFonts w:hint="eastAsia" w:ascii="Times New Roman" w:hAnsi="Times New Roman" w:eastAsia="宋体" w:cs="Times New Roman"/>
                <w:lang w:eastAsia="zh-CN"/>
              </w:rPr>
              <w:t>、</w:t>
            </w:r>
            <w:r>
              <w:rPr>
                <w:rFonts w:hint="eastAsia" w:ascii="Times New Roman" w:hAnsi="Times New Roman" w:eastAsia="宋体" w:cs="Times New Roman"/>
              </w:rPr>
              <w:t>金马手动静电喷枪</w:t>
            </w:r>
            <w:r>
              <w:rPr>
                <w:rFonts w:hint="eastAsia" w:ascii="Times New Roman" w:hAnsi="Times New Roman" w:eastAsia="宋体" w:cs="Times New Roman"/>
                <w:lang w:eastAsia="zh-CN"/>
              </w:rPr>
              <w:t>、</w:t>
            </w:r>
            <w:r>
              <w:rPr>
                <w:rFonts w:hint="eastAsia" w:ascii="Times New Roman" w:hAnsi="Times New Roman" w:eastAsia="宋体" w:cs="Times New Roman"/>
              </w:rPr>
              <w:t>固化炉</w:t>
            </w:r>
            <w:r>
              <w:rPr>
                <w:rFonts w:hint="eastAsia" w:ascii="Times New Roman" w:hAnsi="Times New Roman" w:eastAsia="宋体" w:cs="Times New Roman"/>
                <w:lang w:eastAsia="zh-CN"/>
              </w:rPr>
              <w:t>、</w:t>
            </w:r>
            <w:r>
              <w:rPr>
                <w:rFonts w:hint="eastAsia" w:ascii="Times New Roman" w:hAnsi="Times New Roman" w:eastAsia="宋体" w:cs="Times New Roman"/>
              </w:rPr>
              <w:t>烘干炉</w:t>
            </w:r>
            <w:r>
              <w:rPr>
                <w:rFonts w:hint="eastAsia" w:ascii="Times New Roman" w:hAnsi="Times New Roman" w:eastAsia="宋体" w:cs="Times New Roman"/>
                <w:lang w:eastAsia="zh-CN"/>
              </w:rPr>
              <w:t>、</w:t>
            </w:r>
            <w:r>
              <w:rPr>
                <w:rFonts w:hint="eastAsia" w:ascii="Times New Roman" w:hAnsi="Times New Roman" w:eastAsia="宋体" w:cs="Times New Roman"/>
              </w:rPr>
              <w:t>金马自动喷枪</w:t>
            </w:r>
            <w:r>
              <w:rPr>
                <w:rFonts w:hint="eastAsia" w:ascii="Times New Roman" w:hAnsi="Times New Roman" w:eastAsia="宋体" w:cs="Times New Roman"/>
                <w:lang w:eastAsia="zh-CN"/>
              </w:rPr>
              <w:t>、</w:t>
            </w:r>
            <w:r>
              <w:rPr>
                <w:rFonts w:hint="eastAsia" w:ascii="Times New Roman" w:hAnsi="Times New Roman" w:eastAsia="宋体" w:cs="Times New Roman"/>
              </w:rPr>
              <w:t>打磨机（</w:t>
            </w:r>
            <w:r>
              <w:rPr>
                <w:rFonts w:hint="eastAsia"/>
                <w:u w:val="single"/>
              </w:rPr>
              <w:t>列举2~4种）</w:t>
            </w:r>
          </w:p>
          <w:p>
            <w:pPr>
              <w:shd w:val="clear" w:color="auto" w:fill="C7DAF1" w:themeFill="text2" w:themeFillTint="32"/>
              <w:rPr>
                <w:rFonts w:hint="eastAsia" w:eastAsia="宋体"/>
                <w:lang w:eastAsia="zh-CN"/>
              </w:rPr>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r>
              <w:rPr>
                <w:rFonts w:hint="eastAsia"/>
                <w:lang w:eastAsia="zh-CN"/>
              </w:rPr>
              <w:t>（</w:t>
            </w:r>
            <w:r>
              <w:rPr>
                <w:rFonts w:hint="eastAsia"/>
                <w:lang w:val="en-US" w:eastAsia="zh-CN"/>
              </w:rPr>
              <w:t>租赁厂房，特种设备由平高集团负责检定</w:t>
            </w:r>
            <w:r>
              <w:rPr>
                <w:rFonts w:hint="eastAsia"/>
                <w:lang w:eastAsia="zh-CN"/>
              </w:rPr>
              <w:t>）</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r>
              <w:rPr>
                <w:rFonts w:hint="eastAsia" w:ascii="Wingdings" w:hAnsi="Wingdings"/>
              </w:rPr>
              <w:t>✔</w:t>
            </w:r>
            <w:r>
              <w:rPr>
                <w:rFonts w:hint="eastAsia"/>
              </w:rPr>
              <w:t>不适用</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Times New Roman" w:hAnsi="Times New Roman" w:eastAsia="宋体" w:cs="Times New Roman"/>
              </w:rPr>
              <w:t>膜厚用测厚仪</w:t>
            </w:r>
            <w:r>
              <w:rPr>
                <w:rFonts w:hint="eastAsia" w:ascii="Times New Roman" w:hAnsi="Times New Roman" w:eastAsia="宋体" w:cs="Times New Roman"/>
                <w:lang w:eastAsia="zh-CN"/>
              </w:rPr>
              <w:t>、</w:t>
            </w:r>
            <w:r>
              <w:rPr>
                <w:rFonts w:hint="eastAsia" w:ascii="Times New Roman" w:hAnsi="Times New Roman" w:eastAsia="宋体" w:cs="Times New Roman"/>
              </w:rPr>
              <w:t>百格刀（</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r>
              <w:rPr>
                <w:rFonts w:hint="eastAsia"/>
                <w:lang w:val="en-US" w:eastAsia="zh-CN"/>
              </w:rPr>
              <w:t xml:space="preserve">   </w:t>
            </w:r>
            <w:r>
              <w:rPr>
                <w:rFonts w:hint="eastAsia" w:ascii="Wingdings" w:hAnsi="Wingdings"/>
              </w:rPr>
              <w:t>✔</w:t>
            </w:r>
            <w:r>
              <w:rPr>
                <w:rFonts w:hint="eastAsia"/>
              </w:rPr>
              <w:t>不适用</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r>
              <w:rPr>
                <w:rFonts w:hint="eastAsia"/>
                <w:lang w:val="en-US" w:eastAsia="zh-CN"/>
              </w:rPr>
              <w:t xml:space="preserve">  </w:t>
            </w:r>
            <w:r>
              <w:rPr>
                <w:rFonts w:hint="eastAsia" w:ascii="Wingdings" w:hAnsi="Wingdings"/>
              </w:rPr>
              <w:t>✔</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喷涂加工</w:t>
                  </w:r>
                </w:p>
              </w:tc>
              <w:tc>
                <w:tcPr>
                  <w:tcW w:w="36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喷粉过程</w:t>
                  </w:r>
                </w:p>
              </w:tc>
              <w:tc>
                <w:tcPr>
                  <w:tcW w:w="3265"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喷涂链速、固化炉温度、固化炉链速、膜厚、附着力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喷粉过程</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w:t>
            </w:r>
            <w:r>
              <w:rPr>
                <w:rFonts w:hint="eastAsia" w:ascii="Wingdings" w:hAnsi="Wingdings"/>
              </w:rPr>
              <w:t>✔</w:t>
            </w:r>
            <w:r>
              <w:rPr>
                <w:rFonts w:hint="eastAsia"/>
              </w:rPr>
              <w:t>标识、处置、污染控制、</w:t>
            </w:r>
            <w:r>
              <w:rPr>
                <w:rFonts w:hint="eastAsia" w:ascii="Wingdings" w:hAnsi="Wingdings"/>
              </w:rPr>
              <w:t>✔</w:t>
            </w:r>
            <w:r>
              <w:rPr>
                <w:rFonts w:hint="eastAsia"/>
              </w:rPr>
              <w:t>包装、储存、</w:t>
            </w:r>
            <w:r>
              <w:rPr>
                <w:rFonts w:hint="eastAsia" w:ascii="Wingdings" w:hAnsi="Wingdings"/>
              </w:rPr>
              <w:t>✔</w:t>
            </w:r>
            <w:r>
              <w:rPr>
                <w:rFonts w:hint="eastAsia"/>
              </w:rPr>
              <w:t>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18</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663EA6"/>
    <w:rsid w:val="23835AD3"/>
    <w:rsid w:val="2734690A"/>
    <w:rsid w:val="3E2D2CFE"/>
    <w:rsid w:val="729B56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大漠孤烟</cp:lastModifiedBy>
  <cp:lastPrinted>2019-05-13T03:19:00Z</cp:lastPrinted>
  <dcterms:modified xsi:type="dcterms:W3CDTF">2022-01-03T23:13:36Z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