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b/>
          <w:bCs w:val="0"/>
          <w:sz w:val="36"/>
          <w:szCs w:val="36"/>
          <w:u w:val="none"/>
        </w:rPr>
      </w:pPr>
      <w:r>
        <w:rPr>
          <w:rFonts w:hint="eastAsia" w:ascii="仿宋" w:hAnsi="仿宋" w:eastAsia="仿宋" w:cs="仿宋"/>
          <w:sz w:val="24"/>
          <w:szCs w:val="24"/>
          <w:u w:val="none"/>
        </w:rPr>
        <w:ptab w:relativeTo="margin" w:alignment="center" w:leader="none"/>
      </w:r>
      <w:r>
        <w:rPr>
          <w:rFonts w:hint="eastAsia" w:ascii="仿宋" w:hAnsi="仿宋" w:eastAsia="仿宋" w:cs="仿宋"/>
          <w:b/>
          <w:bCs w:val="0"/>
          <w:color w:val="000000"/>
          <w:sz w:val="36"/>
          <w:szCs w:val="36"/>
          <w:u w:val="none"/>
        </w:rPr>
        <w:t>管理体系审核记录表</w:t>
      </w:r>
    </w:p>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过程与活动、</w:t>
            </w:r>
          </w:p>
          <w:p>
            <w:pPr>
              <w:keepNext w:val="0"/>
              <w:keepLines w:val="0"/>
              <w:pageBreakBefore w:val="0"/>
              <w:widowControl w:val="0"/>
              <w:kinsoku/>
              <w:wordWrap/>
              <w:overflowPunct/>
              <w:topLinePunct w:val="0"/>
              <w:autoSpaceDE/>
              <w:autoSpaceDN/>
              <w:bidi w:val="0"/>
              <w:adjustRightInd/>
              <w:spacing w:after="0" w:line="360" w:lineRule="auto"/>
              <w:jc w:val="center"/>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抽样计划</w:t>
            </w:r>
          </w:p>
        </w:tc>
        <w:tc>
          <w:tcPr>
            <w:tcW w:w="960"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涉及</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条款</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受审核部门：</w:t>
            </w:r>
            <w:r>
              <w:rPr>
                <w:rFonts w:hint="eastAsia" w:ascii="仿宋" w:hAnsi="仿宋" w:eastAsia="仿宋" w:cs="仿宋"/>
                <w:color w:val="auto"/>
                <w:sz w:val="24"/>
                <w:szCs w:val="24"/>
                <w:u w:val="none"/>
                <w:lang w:val="en-US" w:eastAsia="zh-CN"/>
              </w:rPr>
              <w:t>生技部</w:t>
            </w:r>
            <w:r>
              <w:rPr>
                <w:rFonts w:hint="eastAsia" w:ascii="仿宋" w:hAnsi="仿宋" w:eastAsia="仿宋" w:cs="仿宋"/>
                <w:color w:val="auto"/>
                <w:sz w:val="24"/>
                <w:szCs w:val="24"/>
                <w:u w:val="none"/>
              </w:rPr>
              <w:t xml:space="preserve">   主管领导：</w:t>
            </w:r>
            <w:r>
              <w:rPr>
                <w:rFonts w:hint="eastAsia" w:ascii="仿宋" w:hAnsi="仿宋" w:eastAsia="仿宋" w:cs="仿宋"/>
                <w:color w:val="auto"/>
                <w:sz w:val="24"/>
                <w:szCs w:val="24"/>
                <w:u w:val="none"/>
                <w:lang w:val="en-US" w:eastAsia="zh-CN"/>
              </w:rPr>
              <w:t>李伟</w:t>
            </w:r>
            <w:r>
              <w:rPr>
                <w:rFonts w:hint="eastAsia" w:ascii="仿宋" w:hAnsi="仿宋" w:eastAsia="仿宋" w:cs="仿宋"/>
                <w:color w:val="auto"/>
                <w:sz w:val="24"/>
                <w:szCs w:val="24"/>
                <w:u w:val="none"/>
              </w:rPr>
              <w:t xml:space="preserve">    陪同人员：</w:t>
            </w:r>
            <w:r>
              <w:rPr>
                <w:rFonts w:hint="eastAsia" w:ascii="仿宋" w:hAnsi="仿宋" w:eastAsia="仿宋" w:cs="仿宋"/>
                <w:color w:val="auto"/>
                <w:sz w:val="24"/>
                <w:szCs w:val="24"/>
                <w:u w:val="none"/>
                <w:lang w:val="en-US" w:eastAsia="zh-CN"/>
              </w:rPr>
              <w:t>段振红</w:t>
            </w:r>
          </w:p>
        </w:tc>
        <w:tc>
          <w:tcPr>
            <w:tcW w:w="1585" w:type="dxa"/>
            <w:vMerge w:val="restart"/>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审核员：</w:t>
            </w:r>
            <w:r>
              <w:rPr>
                <w:rFonts w:hint="eastAsia" w:ascii="仿宋" w:hAnsi="仿宋" w:eastAsia="仿宋" w:cs="仿宋"/>
                <w:color w:val="auto"/>
                <w:sz w:val="24"/>
                <w:szCs w:val="24"/>
                <w:u w:val="none"/>
                <w:lang w:val="en-US" w:eastAsia="zh-CN"/>
              </w:rPr>
              <w:t xml:space="preserve">刘红杰 </w:t>
            </w:r>
            <w:r>
              <w:rPr>
                <w:rFonts w:hint="eastAsia" w:ascii="仿宋" w:hAnsi="仿宋" w:eastAsia="仿宋" w:cs="仿宋"/>
                <w:color w:val="auto"/>
                <w:sz w:val="24"/>
                <w:szCs w:val="24"/>
                <w:u w:val="none"/>
              </w:rPr>
              <w:t xml:space="preserve">    审核时间：</w:t>
            </w:r>
            <w:r>
              <w:rPr>
                <w:rFonts w:hint="eastAsia" w:ascii="仿宋" w:hAnsi="仿宋" w:eastAsia="仿宋" w:cs="仿宋"/>
                <w:color w:val="auto"/>
                <w:sz w:val="24"/>
                <w:szCs w:val="24"/>
                <w:u w:val="none"/>
                <w:lang w:val="en-US" w:eastAsia="zh-CN"/>
              </w:rPr>
              <w:t>2021年12月25日</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960" w:type="dxa"/>
            <w:vMerge w:val="continue"/>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审核条款：</w:t>
            </w:r>
            <w:r>
              <w:rPr>
                <w:rFonts w:hint="eastAsia" w:ascii="仿宋" w:hAnsi="仿宋" w:eastAsia="仿宋" w:cs="仿宋"/>
                <w:color w:val="auto"/>
                <w:sz w:val="24"/>
                <w:szCs w:val="24"/>
                <w:u w:val="none"/>
                <w:lang w:val="en-US" w:eastAsia="zh-CN"/>
              </w:rPr>
              <w:t>Q:</w:t>
            </w:r>
            <w:r>
              <w:rPr>
                <w:rFonts w:hint="eastAsia" w:ascii="仿宋" w:hAnsi="仿宋" w:eastAsia="仿宋" w:cs="仿宋"/>
                <w:b/>
                <w:bCs/>
                <w:color w:val="auto"/>
                <w:sz w:val="21"/>
                <w:szCs w:val="21"/>
                <w:u w:val="none"/>
              </w:rPr>
              <w:t>5.3/6.2/7.1.3/7.1.4/7.1.5</w:t>
            </w:r>
            <w:r>
              <w:rPr>
                <w:rFonts w:hint="eastAsia" w:ascii="仿宋" w:hAnsi="仿宋" w:eastAsia="仿宋" w:cs="仿宋"/>
                <w:b/>
                <w:bCs/>
                <w:color w:val="auto"/>
                <w:sz w:val="21"/>
                <w:szCs w:val="21"/>
                <w:u w:val="none"/>
                <w:lang w:val="en-US" w:eastAsia="zh-CN"/>
              </w:rPr>
              <w:t>/</w:t>
            </w:r>
            <w:r>
              <w:rPr>
                <w:rFonts w:hint="eastAsia" w:ascii="仿宋" w:hAnsi="仿宋" w:eastAsia="仿宋" w:cs="仿宋"/>
                <w:b/>
                <w:bCs/>
                <w:color w:val="auto"/>
                <w:sz w:val="21"/>
                <w:szCs w:val="21"/>
                <w:u w:val="none"/>
              </w:rPr>
              <w:t>8.1/8.3/8.5.1</w:t>
            </w:r>
            <w:r>
              <w:rPr>
                <w:rFonts w:hint="eastAsia" w:ascii="仿宋" w:hAnsi="仿宋" w:eastAsia="仿宋" w:cs="仿宋"/>
                <w:b/>
                <w:bCs/>
                <w:color w:val="auto"/>
                <w:sz w:val="21"/>
                <w:szCs w:val="21"/>
                <w:u w:val="none"/>
                <w:lang w:val="en-US" w:eastAsia="zh-CN"/>
              </w:rPr>
              <w:t>/8.5.2</w:t>
            </w:r>
            <w:r>
              <w:rPr>
                <w:rFonts w:hint="eastAsia" w:ascii="仿宋" w:hAnsi="仿宋" w:eastAsia="仿宋" w:cs="仿宋"/>
                <w:b/>
                <w:bCs/>
                <w:color w:val="auto"/>
                <w:sz w:val="21"/>
                <w:szCs w:val="21"/>
                <w:u w:val="none"/>
              </w:rPr>
              <w:t>/</w:t>
            </w:r>
            <w:r>
              <w:rPr>
                <w:rFonts w:hint="eastAsia" w:ascii="仿宋" w:hAnsi="仿宋" w:eastAsia="仿宋" w:cs="仿宋"/>
                <w:b/>
                <w:bCs/>
                <w:color w:val="auto"/>
                <w:sz w:val="21"/>
                <w:szCs w:val="21"/>
                <w:u w:val="none"/>
                <w:lang w:val="en-US" w:eastAsia="zh-CN"/>
              </w:rPr>
              <w:t>8.5.3/8.5.4/8.5.6</w:t>
            </w:r>
            <w:r>
              <w:rPr>
                <w:rFonts w:hint="eastAsia" w:ascii="仿宋" w:hAnsi="仿宋" w:eastAsia="仿宋" w:cs="仿宋"/>
                <w:b/>
                <w:bCs/>
                <w:color w:val="auto"/>
                <w:sz w:val="21"/>
                <w:szCs w:val="21"/>
                <w:u w:val="none"/>
              </w:rPr>
              <w:t>/8.6</w:t>
            </w:r>
            <w:r>
              <w:rPr>
                <w:rFonts w:hint="eastAsia" w:ascii="仿宋" w:hAnsi="仿宋" w:eastAsia="仿宋" w:cs="仿宋"/>
                <w:b/>
                <w:bCs/>
                <w:color w:val="auto"/>
                <w:sz w:val="21"/>
                <w:szCs w:val="21"/>
                <w:u w:val="none"/>
                <w:lang w:val="en-US" w:eastAsia="zh-CN"/>
              </w:rPr>
              <w:t>/8.7/10.2</w:t>
            </w:r>
          </w:p>
        </w:tc>
        <w:tc>
          <w:tcPr>
            <w:tcW w:w="1585" w:type="dxa"/>
            <w:vMerge w:val="continue"/>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职责和权限</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5.3</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部门负责人：李伟</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询问其职责权限：</w:t>
            </w:r>
            <w:r>
              <w:rPr>
                <w:rFonts w:hint="eastAsia" w:ascii="仿宋" w:hAnsi="仿宋" w:eastAsia="仿宋" w:cs="仿宋"/>
                <w:color w:val="auto"/>
                <w:sz w:val="24"/>
                <w:szCs w:val="24"/>
                <w:u w:val="none"/>
              </w:rPr>
              <w:t>负责基础设施及环境；负责产品实现的策划；生产过程控制；</w:t>
            </w:r>
            <w:r>
              <w:rPr>
                <w:rFonts w:hint="eastAsia" w:ascii="仿宋" w:hAnsi="仿宋" w:eastAsia="仿宋" w:cs="仿宋"/>
                <w:color w:val="auto"/>
                <w:sz w:val="24"/>
                <w:szCs w:val="24"/>
                <w:u w:val="none"/>
                <w:lang w:val="en-US" w:eastAsia="zh-CN"/>
              </w:rPr>
              <w:t>产品可追溯性、顾客和供方财产、产品防护、出入库管理、</w:t>
            </w:r>
            <w:r>
              <w:rPr>
                <w:rFonts w:hint="eastAsia" w:ascii="仿宋" w:hAnsi="仿宋" w:eastAsia="仿宋" w:cs="仿宋"/>
                <w:color w:val="auto"/>
                <w:sz w:val="24"/>
                <w:szCs w:val="24"/>
                <w:u w:val="none"/>
              </w:rPr>
              <w:t>监视测量设备控制、负责产品放行、不合格品控制及纠正措施控制</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rPr>
              <w:t>职责和权限与手册描述基本一致</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16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质量</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目标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6.2</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分解到该部门的质量目标及完成情况如下：</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部门目标：            </w:t>
            </w:r>
            <w:r>
              <w:rPr>
                <w:rFonts w:hint="eastAsia" w:ascii="仿宋" w:hAnsi="仿宋" w:eastAsia="仿宋" w:cs="仿宋"/>
                <w:color w:val="auto"/>
                <w:sz w:val="24"/>
                <w:szCs w:val="24"/>
                <w:u w:val="none"/>
                <w:lang w:val="en-US" w:eastAsia="zh-CN"/>
              </w:rPr>
              <w:t xml:space="preserve">      完成情况</w:t>
            </w:r>
            <w:r>
              <w:rPr>
                <w:rFonts w:hint="eastAsia" w:ascii="仿宋" w:hAnsi="仿宋" w:eastAsia="仿宋" w:cs="仿宋"/>
                <w:color w:val="auto"/>
                <w:sz w:val="24"/>
                <w:szCs w:val="24"/>
                <w:u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生产计划按时完成率100%；    100%</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在用设备完好率100%。        100%</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品质检验准确率100%          100%</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不合格品处置率100%          100%</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产品一次交验合格率≥98%      99%</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监视和测量资源按时校验率100% 100%</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抽202年第3季度质量目标完成情况，均完成</w:t>
            </w:r>
            <w:r>
              <w:rPr>
                <w:rFonts w:hint="eastAsia" w:ascii="仿宋" w:hAnsi="仿宋" w:eastAsia="仿宋" w:cs="仿宋"/>
                <w:color w:val="auto"/>
                <w:sz w:val="24"/>
                <w:szCs w:val="24"/>
                <w:u w:val="none"/>
              </w:rPr>
              <w:t>。</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设施设备管理</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7.1.3</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现主要生产人员</w:t>
            </w:r>
            <w:r>
              <w:rPr>
                <w:rFonts w:hint="eastAsia" w:ascii="仿宋" w:hAnsi="仿宋" w:eastAsia="仿宋" w:cs="仿宋"/>
                <w:color w:val="auto"/>
                <w:sz w:val="24"/>
                <w:szCs w:val="24"/>
                <w:u w:val="none"/>
                <w:lang w:val="en-US" w:eastAsia="zh-CN"/>
              </w:rPr>
              <w:t>15</w:t>
            </w:r>
            <w:r>
              <w:rPr>
                <w:rFonts w:hint="eastAsia" w:ascii="仿宋" w:hAnsi="仿宋" w:eastAsia="仿宋" w:cs="仿宋"/>
                <w:color w:val="auto"/>
                <w:sz w:val="24"/>
                <w:szCs w:val="24"/>
                <w:u w:val="none"/>
              </w:rPr>
              <w:t>人左右</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提供了《生产设备台账》，记录了设备名称、型号、</w:t>
            </w:r>
            <w:r>
              <w:rPr>
                <w:rFonts w:hint="eastAsia" w:ascii="仿宋" w:hAnsi="仿宋" w:eastAsia="仿宋" w:cs="仿宋"/>
                <w:color w:val="auto"/>
                <w:sz w:val="24"/>
                <w:szCs w:val="24"/>
                <w:u w:val="none"/>
                <w:lang w:val="en-US" w:eastAsia="zh-CN"/>
              </w:rPr>
              <w:t>数量、适用场所</w:t>
            </w:r>
            <w:r>
              <w:rPr>
                <w:rFonts w:hint="eastAsia" w:ascii="仿宋" w:hAnsi="仿宋" w:eastAsia="仿宋" w:cs="仿宋"/>
                <w:color w:val="auto"/>
                <w:sz w:val="24"/>
                <w:szCs w:val="24"/>
                <w:u w:val="none"/>
              </w:rPr>
              <w:t>等内容。</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主要办公设备有台式电脑、打印机等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配有</w:t>
            </w:r>
            <w:r>
              <w:rPr>
                <w:rFonts w:hint="eastAsia" w:ascii="仿宋" w:hAnsi="仿宋" w:eastAsia="仿宋" w:cs="仿宋"/>
                <w:color w:val="auto"/>
                <w:sz w:val="24"/>
                <w:szCs w:val="24"/>
                <w:u w:val="none"/>
              </w:rPr>
              <w:t>生产设备：明泉500米链条线体</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 xml:space="preserve">燃烧机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喷淋槽</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金马粉房</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金马手动静电喷枪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固化炉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烘干炉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金马自动喷枪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打磨机等；基本能满足服务需要。设备状态良好。</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抽设备台账</w:t>
            </w:r>
            <w:r>
              <w:rPr>
                <w:rFonts w:hint="eastAsia" w:ascii="仿宋" w:hAnsi="仿宋" w:eastAsia="仿宋" w:cs="仿宋"/>
                <w:color w:val="auto"/>
                <w:sz w:val="24"/>
                <w:szCs w:val="24"/>
                <w:u w:val="none"/>
                <w:lang w:val="en-US" w:eastAsia="zh-CN"/>
              </w:rPr>
              <w:t>，符合要求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提供监视和测量设备</w:t>
            </w:r>
            <w:r>
              <w:rPr>
                <w:rFonts w:hint="eastAsia" w:ascii="仿宋" w:hAnsi="仿宋" w:eastAsia="仿宋" w:cs="仿宋"/>
                <w:color w:val="auto"/>
                <w:sz w:val="24"/>
                <w:szCs w:val="24"/>
                <w:u w:val="none"/>
                <w:lang w:val="en-US" w:eastAsia="zh-CN"/>
              </w:rPr>
              <w:t>有</w:t>
            </w:r>
            <w:r>
              <w:rPr>
                <w:rFonts w:hint="eastAsia" w:ascii="仿宋" w:hAnsi="仿宋" w:eastAsia="仿宋" w:cs="仿宋"/>
                <w:color w:val="auto"/>
                <w:sz w:val="24"/>
                <w:szCs w:val="24"/>
                <w:u w:val="none"/>
              </w:rPr>
              <w:t>膜厚用测厚仪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百格刀</w:t>
            </w:r>
            <w:r>
              <w:rPr>
                <w:rFonts w:hint="eastAsia" w:ascii="仿宋" w:hAnsi="仿宋" w:eastAsia="仿宋" w:cs="仿宋"/>
                <w:color w:val="auto"/>
                <w:sz w:val="24"/>
                <w:szCs w:val="24"/>
                <w:u w:val="none"/>
                <w:lang w:val="en-US" w:eastAsia="zh-CN"/>
              </w:rPr>
              <w:t>等</w:t>
            </w:r>
            <w:r>
              <w:rPr>
                <w:rFonts w:hint="eastAsia" w:ascii="仿宋" w:hAnsi="仿宋" w:eastAsia="仿宋" w:cs="仿宋"/>
                <w:color w:val="auto"/>
                <w:sz w:val="24"/>
                <w:szCs w:val="24"/>
                <w:u w:val="none"/>
              </w:rPr>
              <w:t>,见7.1.5审核记录</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办公设备的日常维护，主要为局域网维护、灰尘清扫、电脑、和一些设备的耗材更换。</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生产设备制定了维护保养计划并填写记录。</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企业有设备维护保养规定，每日对设备按要求逐项进行检查、保养。</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抽设备日常</w:t>
            </w:r>
            <w:r>
              <w:rPr>
                <w:rFonts w:hint="eastAsia" w:ascii="仿宋" w:hAnsi="仿宋" w:eastAsia="仿宋" w:cs="仿宋"/>
                <w:color w:val="auto"/>
                <w:sz w:val="24"/>
                <w:szCs w:val="24"/>
                <w:u w:val="none"/>
                <w:lang w:val="en-US" w:eastAsia="zh-CN"/>
              </w:rPr>
              <w:t>保养计划、点检记录、</w:t>
            </w:r>
            <w:r>
              <w:rPr>
                <w:rFonts w:hint="eastAsia" w:ascii="仿宋" w:hAnsi="仿宋" w:eastAsia="仿宋" w:cs="仿宋"/>
                <w:color w:val="auto"/>
                <w:sz w:val="24"/>
                <w:szCs w:val="24"/>
                <w:u w:val="none"/>
              </w:rPr>
              <w:t>维护记录</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均</w:t>
            </w:r>
            <w:r>
              <w:rPr>
                <w:rFonts w:hint="eastAsia" w:ascii="仿宋" w:hAnsi="仿宋" w:eastAsia="仿宋" w:cs="仿宋"/>
                <w:color w:val="auto"/>
                <w:sz w:val="24"/>
                <w:szCs w:val="24"/>
                <w:u w:val="none"/>
                <w:lang w:val="en-US" w:eastAsia="zh-CN"/>
              </w:rPr>
              <w:t>按要求执行，</w:t>
            </w:r>
            <w:r>
              <w:rPr>
                <w:rFonts w:hint="eastAsia" w:ascii="仿宋" w:hAnsi="仿宋" w:eastAsia="仿宋" w:cs="仿宋"/>
                <w:color w:val="auto"/>
                <w:sz w:val="24"/>
                <w:szCs w:val="24"/>
                <w:u w:val="none"/>
              </w:rPr>
              <w:t>保存完好，符合要求。</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公司设备管理均按要求进行保养维护、维修，并有记录，方便检索和查阅，符合要求。</w:t>
            </w:r>
          </w:p>
          <w:p>
            <w:pPr>
              <w:keepNext w:val="0"/>
              <w:keepLines w:val="0"/>
              <w:pageBreakBefore w:val="0"/>
              <w:widowControl w:val="0"/>
              <w:numPr>
                <w:ilvl w:val="0"/>
                <w:numId w:val="0"/>
              </w:numPr>
              <w:kinsoku/>
              <w:wordWrap/>
              <w:overflowPunct/>
              <w:topLinePunct w:val="0"/>
              <w:autoSpaceDE/>
              <w:autoSpaceDN/>
              <w:bidi w:val="0"/>
              <w:adjustRightInd/>
              <w:spacing w:after="0" w:line="360" w:lineRule="auto"/>
              <w:ind w:leftChars="0"/>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●特种设备：</w:t>
            </w:r>
            <w:r>
              <w:rPr>
                <w:rFonts w:hint="eastAsia" w:ascii="仿宋" w:hAnsi="仿宋" w:eastAsia="仿宋" w:cs="仿宋"/>
                <w:color w:val="auto"/>
                <w:sz w:val="24"/>
                <w:szCs w:val="24"/>
                <w:u w:val="none"/>
                <w:lang w:val="en-US" w:eastAsia="zh-CN"/>
              </w:rPr>
              <w:t>无</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●厂房</w:t>
            </w:r>
            <w:r>
              <w:rPr>
                <w:rFonts w:hint="eastAsia" w:ascii="仿宋" w:hAnsi="仿宋" w:eastAsia="仿宋" w:cs="仿宋"/>
                <w:color w:val="auto"/>
                <w:sz w:val="24"/>
                <w:szCs w:val="24"/>
                <w:u w:val="none"/>
                <w:lang w:val="en-US" w:eastAsia="zh-CN"/>
              </w:rPr>
              <w:t>为租赁平高智能电气有限公司厂房，根据协议要求，本公司</w:t>
            </w:r>
            <w:r>
              <w:rPr>
                <w:rFonts w:hint="eastAsia" w:ascii="仿宋" w:hAnsi="仿宋" w:eastAsia="仿宋" w:cs="仿宋"/>
                <w:color w:val="auto"/>
                <w:sz w:val="24"/>
                <w:szCs w:val="24"/>
                <w:u w:val="none"/>
              </w:rPr>
              <w:t>生</w:t>
            </w:r>
            <w:r>
              <w:rPr>
                <w:rFonts w:hint="eastAsia" w:ascii="仿宋" w:hAnsi="仿宋" w:eastAsia="仿宋" w:cs="仿宋"/>
                <w:color w:val="auto"/>
                <w:sz w:val="24"/>
                <w:szCs w:val="24"/>
                <w:u w:val="none"/>
                <w:lang w:val="en-US" w:eastAsia="zh-CN"/>
              </w:rPr>
              <w:t>技</w:t>
            </w:r>
            <w:r>
              <w:rPr>
                <w:rFonts w:hint="eastAsia" w:ascii="仿宋" w:hAnsi="仿宋" w:eastAsia="仿宋" w:cs="仿宋"/>
                <w:color w:val="auto"/>
                <w:sz w:val="24"/>
                <w:szCs w:val="24"/>
                <w:u w:val="none"/>
              </w:rPr>
              <w:t>部负责定期检查漏雨、透风等损坏情况，</w:t>
            </w:r>
            <w:r>
              <w:rPr>
                <w:rFonts w:hint="eastAsia" w:ascii="仿宋" w:hAnsi="仿宋" w:eastAsia="仿宋" w:cs="仿宋"/>
                <w:color w:val="auto"/>
                <w:sz w:val="24"/>
                <w:szCs w:val="24"/>
                <w:u w:val="none"/>
                <w:lang w:val="en-US" w:eastAsia="zh-CN"/>
              </w:rPr>
              <w:t>硬件损坏上报平高智能电气公司，有平高智能电气公司统一修缮。</w:t>
            </w:r>
            <w:r>
              <w:rPr>
                <w:rFonts w:hint="eastAsia" w:ascii="仿宋" w:hAnsi="仿宋" w:eastAsia="仿宋" w:cs="仿宋"/>
                <w:color w:val="auto"/>
                <w:sz w:val="24"/>
                <w:szCs w:val="24"/>
                <w:u w:val="none"/>
              </w:rPr>
              <w:t>目前厂房基础设施完好。</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设备管理符合要求。</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过程运行环境管理</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7.1.4</w:t>
            </w:r>
          </w:p>
        </w:tc>
        <w:tc>
          <w:tcPr>
            <w:tcW w:w="10004" w:type="dxa"/>
            <w:vAlign w:val="center"/>
          </w:tcPr>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目前生产经营</w:t>
            </w:r>
            <w:r>
              <w:rPr>
                <w:rFonts w:hint="eastAsia" w:ascii="仿宋" w:hAnsi="仿宋" w:eastAsia="仿宋" w:cs="仿宋"/>
                <w:color w:val="auto"/>
                <w:sz w:val="24"/>
                <w:szCs w:val="24"/>
                <w:u w:val="none"/>
                <w:lang w:val="en-US" w:eastAsia="zh-CN"/>
              </w:rPr>
              <w:t>地址在</w:t>
            </w:r>
            <w:r>
              <w:rPr>
                <w:rFonts w:hint="eastAsia" w:ascii="仿宋" w:hAnsi="仿宋" w:eastAsia="仿宋" w:cs="仿宋"/>
                <w:color w:val="auto"/>
                <w:sz w:val="24"/>
                <w:szCs w:val="24"/>
                <w:u w:val="none"/>
              </w:rPr>
              <w:t>天津市东丽区华明镇弘泰道12号国家电网平高集团院内</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厂区</w:t>
            </w:r>
            <w:r>
              <w:rPr>
                <w:rFonts w:hint="eastAsia" w:ascii="仿宋" w:hAnsi="仿宋" w:eastAsia="仿宋" w:cs="仿宋"/>
                <w:color w:val="auto"/>
                <w:sz w:val="24"/>
                <w:szCs w:val="24"/>
                <w:u w:val="none"/>
                <w:lang w:val="en-US" w:eastAsia="zh-CN"/>
              </w:rPr>
              <w:t>为租赁性质，面积1000㎡左右</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办公室1个，面积40㎡左右。</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●主要工作场所为公司办公场所、生产</w:t>
            </w:r>
            <w:r>
              <w:rPr>
                <w:rFonts w:hint="eastAsia" w:ascii="仿宋" w:hAnsi="仿宋" w:eastAsia="仿宋" w:cs="仿宋"/>
                <w:color w:val="auto"/>
                <w:sz w:val="24"/>
                <w:szCs w:val="24"/>
                <w:u w:val="none"/>
                <w:lang w:val="en-US" w:eastAsia="zh-CN"/>
              </w:rPr>
              <w:t>车间</w:t>
            </w:r>
            <w:r>
              <w:rPr>
                <w:rFonts w:hint="eastAsia" w:ascii="仿宋" w:hAnsi="仿宋" w:eastAsia="仿宋" w:cs="仿宋"/>
                <w:color w:val="auto"/>
                <w:sz w:val="24"/>
                <w:szCs w:val="24"/>
                <w:u w:val="none"/>
              </w:rPr>
              <w:t>、仓库，现场查看：</w:t>
            </w:r>
          </w:p>
          <w:p>
            <w:pPr>
              <w:keepNext w:val="0"/>
              <w:keepLines w:val="0"/>
              <w:pageBreakBefore w:val="0"/>
              <w:widowControl w:val="0"/>
              <w:kinsoku/>
              <w:wordWrap/>
              <w:overflowPunct/>
              <w:topLinePunct w:val="0"/>
              <w:autoSpaceDE/>
              <w:autoSpaceDN/>
              <w:bidi w:val="0"/>
              <w:adjustRightInd/>
              <w:snapToGrid/>
              <w:spacing w:after="0" w:line="360" w:lineRule="auto"/>
              <w:jc w:val="left"/>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办公现场环境</w:t>
            </w:r>
            <w:r>
              <w:rPr>
                <w:rFonts w:hint="eastAsia" w:ascii="仿宋" w:hAnsi="仿宋" w:eastAsia="仿宋" w:cs="仿宋"/>
                <w:color w:val="auto"/>
                <w:sz w:val="24"/>
                <w:szCs w:val="24"/>
                <w:u w:val="none"/>
                <w:lang w:val="en-US" w:eastAsia="zh-CN"/>
              </w:rPr>
              <w:t>尚可</w:t>
            </w:r>
            <w:r>
              <w:rPr>
                <w:rFonts w:hint="eastAsia" w:ascii="仿宋" w:hAnsi="仿宋" w:eastAsia="仿宋" w:cs="仿宋"/>
                <w:color w:val="auto"/>
                <w:sz w:val="24"/>
                <w:szCs w:val="24"/>
                <w:u w:val="none"/>
              </w:rPr>
              <w:t>，秩序良好。</w:t>
            </w:r>
          </w:p>
          <w:p>
            <w:pPr>
              <w:keepNext w:val="0"/>
              <w:keepLines w:val="0"/>
              <w:pageBreakBefore w:val="0"/>
              <w:widowControl w:val="0"/>
              <w:numPr>
                <w:ilvl w:val="0"/>
                <w:numId w:val="1"/>
              </w:numPr>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生产环境</w:t>
            </w:r>
            <w:r>
              <w:rPr>
                <w:rFonts w:hint="eastAsia" w:ascii="仿宋" w:hAnsi="仿宋" w:eastAsia="仿宋" w:cs="仿宋"/>
                <w:color w:val="auto"/>
                <w:sz w:val="24"/>
                <w:szCs w:val="24"/>
                <w:u w:val="none"/>
                <w:lang w:val="en-US" w:eastAsia="zh-CN"/>
              </w:rPr>
              <w:t>及库房主要是清洁、干燥</w:t>
            </w:r>
            <w:r>
              <w:rPr>
                <w:rFonts w:hint="eastAsia" w:ascii="仿宋" w:hAnsi="仿宋" w:eastAsia="仿宋" w:cs="仿宋"/>
                <w:color w:val="auto"/>
                <w:sz w:val="24"/>
                <w:szCs w:val="24"/>
                <w:u w:val="none"/>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2、办公区</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车间、库房</w:t>
            </w:r>
            <w:r>
              <w:rPr>
                <w:rFonts w:hint="eastAsia" w:ascii="仿宋" w:hAnsi="仿宋" w:eastAsia="仿宋" w:cs="仿宋"/>
                <w:color w:val="auto"/>
                <w:sz w:val="24"/>
                <w:szCs w:val="24"/>
                <w:u w:val="none"/>
              </w:rPr>
              <w:t>内有消防器材，</w:t>
            </w:r>
            <w:r>
              <w:rPr>
                <w:rFonts w:hint="eastAsia" w:ascii="仿宋" w:hAnsi="仿宋" w:eastAsia="仿宋" w:cs="仿宋"/>
                <w:color w:val="auto"/>
                <w:sz w:val="24"/>
                <w:szCs w:val="24"/>
                <w:u w:val="none"/>
                <w:lang w:val="en-US" w:eastAsia="zh-CN"/>
              </w:rPr>
              <w:t>均在</w:t>
            </w:r>
            <w:r>
              <w:rPr>
                <w:rFonts w:hint="eastAsia" w:ascii="仿宋" w:hAnsi="仿宋" w:eastAsia="仿宋" w:cs="仿宋"/>
                <w:color w:val="auto"/>
                <w:sz w:val="24"/>
                <w:szCs w:val="24"/>
                <w:u w:val="none"/>
              </w:rPr>
              <w:t>有效期内。</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工作环境可满足需要。工作环境可满足需要。</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监视和测量资源</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7.1.5</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企业配备检查打包区，近300㎡，环境干净整洁，区域划分明确。</w:t>
            </w:r>
          </w:p>
          <w:p>
            <w:pPr>
              <w:pStyle w:val="2"/>
              <w:rPr>
                <w:rFonts w:hint="default"/>
                <w:color w:val="auto"/>
                <w:u w:val="none"/>
                <w:lang w:val="en-US" w:eastAsia="zh-CN"/>
              </w:rPr>
            </w:pPr>
            <w:r>
              <w:rPr>
                <w:rFonts w:hint="eastAsia" w:ascii="仿宋" w:hAnsi="仿宋" w:eastAsia="仿宋" w:cs="仿宋"/>
                <w:color w:val="auto"/>
                <w:sz w:val="24"/>
                <w:szCs w:val="24"/>
                <w:u w:val="none"/>
                <w:lang w:val="en-US" w:eastAsia="zh-CN"/>
              </w:rPr>
              <w:t>策划并制定了《检验管理制度》、</w:t>
            </w:r>
            <w:r>
              <w:rPr>
                <w:rFonts w:hint="eastAsia" w:ascii="仿宋" w:hAnsi="仿宋" w:eastAsia="仿宋" w:cs="仿宋"/>
                <w:color w:val="auto"/>
                <w:sz w:val="24"/>
                <w:szCs w:val="24"/>
                <w:u w:val="none"/>
              </w:rPr>
              <w:t>产品检验规程</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检验标准及检验记录文件。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企业编制计量器具台账，记录了设备编号、名称、规格型号等内容。</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组织配置的监视测量设备主要为膜厚用测厚仪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百格刀等</w:t>
            </w:r>
            <w:r>
              <w:rPr>
                <w:rFonts w:hint="eastAsia" w:ascii="仿宋" w:hAnsi="仿宋" w:eastAsia="仿宋" w:cs="仿宋"/>
                <w:color w:val="auto"/>
                <w:kern w:val="0"/>
                <w:sz w:val="24"/>
                <w:szCs w:val="24"/>
                <w:u w:val="none"/>
              </w:rPr>
              <w:t>。基本满足检验需要。</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single"/>
              </w:rPr>
              <w:t>抽设备校准/验证情况</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生产经理介绍说现场使用的检测设备为借用其它公司的，本公司的检测设备的证书检定机构正在审批中，过几日方可邮寄到公司，现在不能提供检定证书。</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根据企业目前经营的产品品类的检测和客户要求，现有检测器具基本</w:t>
            </w:r>
            <w:r>
              <w:rPr>
                <w:rFonts w:hint="eastAsia" w:ascii="仿宋" w:hAnsi="仿宋" w:eastAsia="仿宋" w:cs="仿宋"/>
                <w:color w:val="auto"/>
                <w:sz w:val="24"/>
                <w:szCs w:val="24"/>
                <w:u w:val="none"/>
                <w:lang w:val="en-US" w:eastAsia="zh-CN"/>
              </w:rPr>
              <w:t>监视</w:t>
            </w:r>
            <w:r>
              <w:rPr>
                <w:rFonts w:hint="eastAsia" w:ascii="仿宋" w:hAnsi="仿宋" w:eastAsia="仿宋" w:cs="仿宋"/>
                <w:color w:val="auto"/>
                <w:sz w:val="24"/>
                <w:szCs w:val="24"/>
                <w:u w:val="none"/>
              </w:rPr>
              <w:t>和测量要求。</w:t>
            </w:r>
          </w:p>
          <w:p>
            <w:pPr>
              <w:keepNext w:val="0"/>
              <w:keepLines w:val="0"/>
              <w:pageBreakBefore w:val="0"/>
              <w:widowControl w:val="0"/>
              <w:kinsoku/>
              <w:wordWrap/>
              <w:overflowPunct/>
              <w:topLinePunct w:val="0"/>
              <w:autoSpaceDE/>
              <w:autoSpaceDN/>
              <w:bidi w:val="0"/>
              <w:adjustRightInd/>
              <w:spacing w:after="0" w:line="360" w:lineRule="auto"/>
              <w:ind w:firstLine="480" w:firstLineChars="200"/>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生产现场使用的监视测量设备由车间质检人员专人负责，防止潮湿、磕碰和损坏。未发生使用过程中失效的现象，如果出现，清楚应立即停止使用，送具有计量资质的检定部门检定，并对已往所检结果重新检验。</w:t>
            </w:r>
          </w:p>
        </w:tc>
        <w:tc>
          <w:tcPr>
            <w:tcW w:w="1585" w:type="dxa"/>
            <w:vAlign w:val="top"/>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kern w:val="2"/>
                <w:sz w:val="24"/>
                <w:szCs w:val="24"/>
                <w:u w:val="none"/>
                <w:lang w:val="en-US" w:eastAsia="zh-CN" w:bidi="ar-SA"/>
              </w:rPr>
            </w:pPr>
            <w:r>
              <w:rPr>
                <w:rFonts w:hint="eastAsia" w:ascii="仿宋" w:hAnsi="仿宋" w:eastAsia="仿宋" w:cs="仿宋"/>
                <w:color w:val="auto"/>
                <w:kern w:val="2"/>
                <w:sz w:val="24"/>
                <w:szCs w:val="24"/>
                <w:u w:val="none"/>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策划</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8.1</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●企业根据客户要求对生产进行策划：</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1、确定产品和服务的要求：法律法规及客户要求 ；中华人民共和国产品质量法</w:t>
            </w:r>
            <w:r>
              <w:rPr>
                <w:rFonts w:hint="eastAsia" w:ascii="仿宋" w:hAnsi="仿宋" w:eastAsia="仿宋" w:cs="仿宋"/>
                <w:color w:val="auto"/>
                <w:sz w:val="24"/>
                <w:szCs w:val="24"/>
                <w:u w:val="none"/>
              </w:rPr>
              <w:tab/>
            </w:r>
            <w:r>
              <w:rPr>
                <w:rFonts w:hint="eastAsia" w:ascii="仿宋" w:hAnsi="仿宋" w:eastAsia="仿宋" w:cs="仿宋"/>
                <w:color w:val="auto"/>
                <w:sz w:val="24"/>
                <w:szCs w:val="24"/>
                <w:u w:val="none"/>
              </w:rPr>
              <w:t>2018年、中华人民共和国标准化法</w:t>
            </w:r>
            <w:r>
              <w:rPr>
                <w:rFonts w:hint="eastAsia" w:ascii="仿宋" w:hAnsi="仿宋" w:eastAsia="仿宋" w:cs="仿宋"/>
                <w:color w:val="auto"/>
                <w:sz w:val="24"/>
                <w:szCs w:val="24"/>
                <w:u w:val="none"/>
              </w:rPr>
              <w:tab/>
            </w:r>
            <w:r>
              <w:rPr>
                <w:rFonts w:hint="eastAsia" w:ascii="仿宋" w:hAnsi="仿宋" w:eastAsia="仿宋" w:cs="仿宋"/>
                <w:color w:val="auto"/>
                <w:sz w:val="24"/>
                <w:szCs w:val="24"/>
                <w:u w:val="none"/>
              </w:rPr>
              <w:t>2018年、中华人民共和国安全生产法</w:t>
            </w:r>
            <w:r>
              <w:rPr>
                <w:rFonts w:hint="eastAsia" w:ascii="仿宋" w:hAnsi="仿宋" w:eastAsia="仿宋" w:cs="仿宋"/>
                <w:color w:val="auto"/>
                <w:sz w:val="24"/>
                <w:szCs w:val="24"/>
                <w:u w:val="none"/>
              </w:rPr>
              <w:tab/>
            </w:r>
            <w:r>
              <w:rPr>
                <w:rFonts w:hint="eastAsia" w:ascii="仿宋" w:hAnsi="仿宋" w:eastAsia="仿宋" w:cs="仿宋"/>
                <w:color w:val="auto"/>
                <w:sz w:val="24"/>
                <w:szCs w:val="24"/>
                <w:u w:val="none"/>
              </w:rPr>
              <w:t>20</w:t>
            </w:r>
            <w:r>
              <w:rPr>
                <w:rFonts w:hint="eastAsia" w:ascii="仿宋" w:hAnsi="仿宋" w:eastAsia="仿宋" w:cs="仿宋"/>
                <w:color w:val="auto"/>
                <w:sz w:val="24"/>
                <w:szCs w:val="24"/>
                <w:u w:val="none"/>
                <w:lang w:val="en-US" w:eastAsia="zh-CN"/>
              </w:rPr>
              <w:t>21</w:t>
            </w:r>
            <w:r>
              <w:rPr>
                <w:rFonts w:hint="eastAsia" w:ascii="仿宋" w:hAnsi="仿宋" w:eastAsia="仿宋" w:cs="仿宋"/>
                <w:color w:val="auto"/>
                <w:sz w:val="24"/>
                <w:szCs w:val="24"/>
                <w:u w:val="none"/>
              </w:rPr>
              <w:t>年、民法典</w:t>
            </w:r>
            <w:r>
              <w:rPr>
                <w:rFonts w:hint="eastAsia" w:ascii="仿宋" w:hAnsi="仿宋" w:eastAsia="仿宋" w:cs="仿宋"/>
                <w:color w:val="auto"/>
                <w:sz w:val="24"/>
                <w:szCs w:val="24"/>
                <w:u w:val="none"/>
              </w:rPr>
              <w:tab/>
            </w:r>
            <w:r>
              <w:rPr>
                <w:rFonts w:hint="eastAsia" w:ascii="仿宋" w:hAnsi="仿宋" w:eastAsia="仿宋" w:cs="仿宋"/>
                <w:color w:val="auto"/>
                <w:sz w:val="24"/>
                <w:szCs w:val="24"/>
                <w:u w:val="none"/>
              </w:rPr>
              <w:t>2021年、</w:t>
            </w:r>
            <w:r>
              <w:rPr>
                <w:rFonts w:hint="eastAsia" w:ascii="宋体" w:hAnsi="宋体" w:eastAsia="宋体" w:cs="宋体"/>
                <w:color w:val="auto"/>
                <w:sz w:val="24"/>
                <w:szCs w:val="24"/>
                <w:u w:val="none"/>
              </w:rPr>
              <w:t>GB/T1771-2007色漆和清漆 耐中性盐雾性能的测定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JGT495-2016 钢门窗粉末静电喷涂涂层技术条件</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37356-2019  色漆和清漆 涂层目视评定的光照条件和方法</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13452.2-2008色漆和清漆 漆膜厚度的测定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9271-2008色漆和清漆 标准试板</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9286-1998色漆和清漆 漆膜的划格试验</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GB15607-2008涂装作业安全规程 粉末静电喷涂工艺安全</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 14443-2007涂装作业安全规程 涂层烘干室安全技术规定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 14773-2007涂装作业安全规程 静电喷枪及其辅助装置安全技术条件</w:t>
            </w:r>
            <w:r>
              <w:rPr>
                <w:rFonts w:hint="eastAsia" w:ascii="宋体" w:hAnsi="宋体" w:eastAsia="宋体" w:cs="宋体"/>
                <w:color w:val="auto"/>
                <w:sz w:val="24"/>
                <w:szCs w:val="24"/>
                <w:u w:val="none"/>
                <w:lang w:val="en-US" w:eastAsia="zh-CN"/>
              </w:rPr>
              <w:t>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2、制定目标，目标基本合理、可测量、可达到</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lang w:eastAsia="zh-CN"/>
              </w:rPr>
              <w:t>生产/服务流程图：</w:t>
            </w:r>
          </w:p>
          <w:p>
            <w:pPr>
              <w:rPr>
                <w:rFonts w:hint="eastAsia" w:ascii="仿宋" w:hAnsi="仿宋" w:eastAsia="仿宋" w:cs="仿宋"/>
                <w:color w:val="auto"/>
                <w:spacing w:val="-10"/>
                <w:sz w:val="24"/>
                <w:szCs w:val="24"/>
                <w:u w:val="none"/>
                <w:lang w:val="en-US" w:eastAsia="zh-CN"/>
              </w:rPr>
            </w:pPr>
            <w:r>
              <w:rPr>
                <w:rFonts w:hint="eastAsia" w:ascii="仿宋" w:hAnsi="仿宋" w:eastAsia="仿宋" w:cs="仿宋"/>
                <w:color w:val="auto"/>
                <w:spacing w:val="-10"/>
                <w:sz w:val="24"/>
                <w:szCs w:val="24"/>
                <w:u w:val="none"/>
                <w:lang w:val="en-US" w:eastAsia="zh-CN"/>
              </w:rPr>
              <w:t>检查产品毛坯有无缺陷-产品挂件-药液处理(水洗，除油，水洗，除锈，水洗，磷化镀膜，水洗)-吹水-烘干-喷粉-固化-全检-下件-全检-包装-发货</w:t>
            </w:r>
          </w:p>
          <w:p>
            <w:pPr>
              <w:rPr>
                <w:rFonts w:hint="eastAsia" w:ascii="仿宋" w:hAnsi="仿宋" w:eastAsia="仿宋" w:cs="仿宋"/>
                <w:color w:val="auto"/>
                <w:spacing w:val="-10"/>
                <w:sz w:val="24"/>
                <w:szCs w:val="24"/>
                <w:u w:val="none"/>
              </w:rPr>
            </w:pPr>
            <w:r>
              <w:rPr>
                <w:rFonts w:hint="eastAsia" w:ascii="仿宋" w:hAnsi="仿宋" w:eastAsia="仿宋" w:cs="仿宋"/>
                <w:color w:val="auto"/>
                <w:sz w:val="24"/>
                <w:szCs w:val="24"/>
                <w:u w:val="none"/>
              </w:rPr>
              <w:t>4</w:t>
            </w:r>
            <w:r>
              <w:rPr>
                <w:rFonts w:hint="eastAsia" w:ascii="仿宋" w:hAnsi="仿宋" w:eastAsia="仿宋" w:cs="仿宋"/>
                <w:color w:val="auto"/>
                <w:spacing w:val="-10"/>
                <w:sz w:val="24"/>
                <w:szCs w:val="24"/>
                <w:u w:val="none"/>
              </w:rPr>
              <w:t>、策划了设备操作规程、</w:t>
            </w:r>
            <w:r>
              <w:rPr>
                <w:rFonts w:hint="eastAsia" w:ascii="仿宋" w:hAnsi="仿宋" w:eastAsia="仿宋" w:cs="仿宋"/>
                <w:color w:val="auto"/>
                <w:spacing w:val="-10"/>
                <w:sz w:val="24"/>
                <w:szCs w:val="24"/>
                <w:u w:val="none"/>
                <w:lang w:val="en-US" w:eastAsia="zh-CN"/>
              </w:rPr>
              <w:t>产品</w:t>
            </w:r>
            <w:r>
              <w:rPr>
                <w:rFonts w:hint="eastAsia" w:ascii="仿宋" w:hAnsi="仿宋" w:eastAsia="仿宋" w:cs="仿宋"/>
                <w:color w:val="auto"/>
                <w:spacing w:val="-10"/>
                <w:sz w:val="24"/>
                <w:szCs w:val="24"/>
                <w:u w:val="none"/>
              </w:rPr>
              <w:t>作业指导</w:t>
            </w:r>
            <w:r>
              <w:rPr>
                <w:rFonts w:hint="eastAsia" w:ascii="仿宋" w:hAnsi="仿宋" w:eastAsia="仿宋" w:cs="仿宋"/>
                <w:color w:val="auto"/>
                <w:spacing w:val="-10"/>
                <w:sz w:val="24"/>
                <w:szCs w:val="24"/>
                <w:u w:val="none"/>
                <w:lang w:val="en-US" w:eastAsia="zh-CN"/>
              </w:rPr>
              <w:t>书</w:t>
            </w:r>
            <w:r>
              <w:rPr>
                <w:rFonts w:hint="eastAsia" w:ascii="仿宋" w:hAnsi="仿宋" w:eastAsia="仿宋" w:cs="仿宋"/>
                <w:color w:val="auto"/>
                <w:spacing w:val="-10"/>
                <w:sz w:val="24"/>
                <w:szCs w:val="24"/>
                <w:u w:val="none"/>
              </w:rPr>
              <w:t>文件，</w:t>
            </w:r>
            <w:r>
              <w:rPr>
                <w:rFonts w:hint="eastAsia" w:ascii="仿宋" w:hAnsi="仿宋" w:eastAsia="仿宋" w:cs="仿宋"/>
                <w:color w:val="auto"/>
                <w:spacing w:val="-10"/>
                <w:sz w:val="24"/>
                <w:szCs w:val="24"/>
                <w:u w:val="none"/>
                <w:lang w:val="en-US" w:eastAsia="zh-CN"/>
              </w:rPr>
              <w:t>检验规程、销售服务流程</w:t>
            </w:r>
            <w:r>
              <w:rPr>
                <w:rFonts w:hint="eastAsia" w:ascii="仿宋" w:hAnsi="仿宋" w:eastAsia="仿宋" w:cs="仿宋"/>
                <w:color w:val="auto"/>
                <w:spacing w:val="-10"/>
                <w:sz w:val="24"/>
                <w:szCs w:val="24"/>
                <w:u w:val="none"/>
              </w:rPr>
              <w:t>及产品</w:t>
            </w:r>
            <w:r>
              <w:rPr>
                <w:rFonts w:hint="eastAsia" w:ascii="仿宋" w:hAnsi="仿宋" w:eastAsia="仿宋" w:cs="仿宋"/>
                <w:color w:val="auto"/>
                <w:spacing w:val="-10"/>
                <w:sz w:val="24"/>
                <w:szCs w:val="24"/>
                <w:u w:val="none"/>
                <w:lang w:val="en-US" w:eastAsia="zh-CN"/>
              </w:rPr>
              <w:t>制作</w:t>
            </w:r>
            <w:r>
              <w:rPr>
                <w:rFonts w:hint="eastAsia" w:ascii="仿宋" w:hAnsi="仿宋" w:eastAsia="仿宋" w:cs="仿宋"/>
                <w:color w:val="auto"/>
                <w:spacing w:val="-10"/>
                <w:sz w:val="24"/>
                <w:szCs w:val="24"/>
                <w:u w:val="none"/>
              </w:rPr>
              <w:t>记录等记录。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pacing w:val="-10"/>
                <w:sz w:val="24"/>
                <w:szCs w:val="24"/>
                <w:u w:val="none"/>
              </w:rPr>
              <w:t>5、所需资源：配备了</w:t>
            </w:r>
            <w:r>
              <w:rPr>
                <w:rFonts w:hint="eastAsia" w:ascii="仿宋" w:hAnsi="仿宋" w:eastAsia="仿宋" w:cs="仿宋"/>
                <w:color w:val="auto"/>
                <w:sz w:val="24"/>
                <w:szCs w:val="24"/>
                <w:u w:val="none"/>
              </w:rPr>
              <w:t>明泉500米链条线体</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 xml:space="preserve">燃烧机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喷淋槽</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金马粉房</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金马手动静电喷枪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固化炉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烘干炉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金马自动喷枪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打磨机等生产设备，人员经过培训上岗等。基本满足工作需要。资源基本满足。</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6</w:t>
            </w:r>
            <w:r>
              <w:rPr>
                <w:rFonts w:hint="eastAsia" w:ascii="仿宋" w:hAnsi="仿宋" w:eastAsia="仿宋" w:cs="仿宋"/>
                <w:color w:val="auto"/>
                <w:sz w:val="24"/>
                <w:szCs w:val="24"/>
                <w:highlight w:val="none"/>
                <w:u w:val="none"/>
              </w:rPr>
              <w:t>、遵</w:t>
            </w:r>
            <w:r>
              <w:rPr>
                <w:rFonts w:hint="eastAsia" w:ascii="仿宋" w:hAnsi="仿宋" w:eastAsia="仿宋" w:cs="仿宋"/>
                <w:color w:val="auto"/>
                <w:sz w:val="24"/>
                <w:szCs w:val="24"/>
                <w:u w:val="none"/>
              </w:rPr>
              <w:t>照岗位职责、设备操作规程、工艺流程</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工艺纪律检查表、生产记录单等</w:t>
            </w:r>
            <w:r>
              <w:rPr>
                <w:rFonts w:hint="eastAsia" w:ascii="仿宋" w:hAnsi="仿宋" w:eastAsia="仿宋" w:cs="仿宋"/>
                <w:color w:val="auto"/>
                <w:sz w:val="24"/>
                <w:szCs w:val="24"/>
                <w:u w:val="none"/>
              </w:rPr>
              <w:t>作业指导文件实施过程控制。</w:t>
            </w:r>
          </w:p>
          <w:p>
            <w:pPr>
              <w:keepNext w:val="0"/>
              <w:keepLines w:val="0"/>
              <w:pageBreakBefore w:val="0"/>
              <w:widowControl w:val="0"/>
              <w:kinsoku/>
              <w:wordWrap/>
              <w:overflowPunct/>
              <w:topLinePunct w:val="0"/>
              <w:autoSpaceDE/>
              <w:autoSpaceDN/>
              <w:bidi w:val="0"/>
              <w:adjustRightInd/>
              <w:spacing w:after="0"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产品通过检验来对产品实现过程进行控制。生产过程中由</w:t>
            </w:r>
            <w:r>
              <w:rPr>
                <w:rFonts w:hint="eastAsia" w:ascii="仿宋" w:hAnsi="仿宋" w:eastAsia="仿宋" w:cs="仿宋"/>
                <w:color w:val="auto"/>
                <w:sz w:val="24"/>
                <w:szCs w:val="24"/>
                <w:u w:val="none"/>
                <w:lang w:val="en-US" w:eastAsia="zh-CN"/>
              </w:rPr>
              <w:t>专门</w:t>
            </w:r>
            <w:r>
              <w:rPr>
                <w:rFonts w:hint="eastAsia" w:ascii="仿宋" w:hAnsi="仿宋" w:eastAsia="仿宋" w:cs="仿宋"/>
                <w:color w:val="auto"/>
                <w:sz w:val="24"/>
                <w:szCs w:val="24"/>
                <w:u w:val="none"/>
              </w:rPr>
              <w:t>人组织进行检查，项目完成后由客户进行验收，符合要求</w:t>
            </w:r>
          </w:p>
          <w:p>
            <w:pPr>
              <w:pStyle w:val="14"/>
              <w:keepNext w:val="0"/>
              <w:keepLines w:val="0"/>
              <w:pageBreakBefore w:val="0"/>
              <w:widowControl w:val="0"/>
              <w:numPr>
                <w:ilvl w:val="0"/>
                <w:numId w:val="2"/>
              </w:numPr>
              <w:kinsoku/>
              <w:wordWrap/>
              <w:overflowPunct/>
              <w:topLinePunct w:val="0"/>
              <w:autoSpaceDE/>
              <w:autoSpaceDN/>
              <w:bidi w:val="0"/>
              <w:adjustRightInd/>
              <w:spacing w:after="0" w:line="360" w:lineRule="auto"/>
              <w:ind w:firstLineChars="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策划了订单（生产任务单）、</w:t>
            </w:r>
            <w:r>
              <w:rPr>
                <w:rFonts w:hint="eastAsia" w:ascii="仿宋" w:hAnsi="仿宋" w:eastAsia="仿宋" w:cs="仿宋"/>
                <w:color w:val="auto"/>
                <w:sz w:val="24"/>
                <w:szCs w:val="24"/>
                <w:u w:val="none"/>
                <w:lang w:val="en-US" w:eastAsia="zh-CN"/>
              </w:rPr>
              <w:t>产品首末件检验记录、</w:t>
            </w:r>
            <w:r>
              <w:rPr>
                <w:rFonts w:hint="eastAsia" w:ascii="仿宋" w:hAnsi="仿宋" w:eastAsia="仿宋" w:cs="仿宋"/>
                <w:color w:val="auto"/>
                <w:sz w:val="24"/>
                <w:szCs w:val="24"/>
                <w:u w:val="none"/>
              </w:rPr>
              <w:t>产品检验记录、过程检验记录等，记录均保期3年。由生</w:t>
            </w:r>
            <w:r>
              <w:rPr>
                <w:rFonts w:hint="eastAsia" w:ascii="仿宋" w:hAnsi="仿宋" w:eastAsia="仿宋" w:cs="仿宋"/>
                <w:color w:val="auto"/>
                <w:sz w:val="24"/>
                <w:szCs w:val="24"/>
                <w:u w:val="none"/>
                <w:lang w:val="en-US" w:eastAsia="zh-CN"/>
              </w:rPr>
              <w:t>技</w:t>
            </w:r>
            <w:r>
              <w:rPr>
                <w:rFonts w:hint="eastAsia" w:ascii="仿宋" w:hAnsi="仿宋" w:eastAsia="仿宋" w:cs="仿宋"/>
                <w:color w:val="auto"/>
                <w:sz w:val="24"/>
                <w:szCs w:val="24"/>
                <w:u w:val="none"/>
              </w:rPr>
              <w:t>部统一汇总交</w:t>
            </w:r>
            <w:r>
              <w:rPr>
                <w:rFonts w:hint="eastAsia" w:ascii="仿宋" w:hAnsi="仿宋" w:eastAsia="仿宋" w:cs="仿宋"/>
                <w:color w:val="auto"/>
                <w:sz w:val="24"/>
                <w:szCs w:val="24"/>
                <w:u w:val="none"/>
                <w:lang w:eastAsia="zh-CN"/>
              </w:rPr>
              <w:t>办公室</w:t>
            </w:r>
            <w:r>
              <w:rPr>
                <w:rFonts w:hint="eastAsia" w:ascii="仿宋" w:hAnsi="仿宋" w:eastAsia="仿宋" w:cs="仿宋"/>
                <w:color w:val="auto"/>
                <w:sz w:val="24"/>
                <w:szCs w:val="24"/>
                <w:u w:val="none"/>
              </w:rPr>
              <w:t>存储。</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8、通过识别与评价对公司目标和战略方向相关，影响其实现质量管理体系预期结果的各种内外部环境因素，有效应对风险和机遇。</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9、外包过程：</w:t>
            </w:r>
            <w:r>
              <w:rPr>
                <w:rFonts w:hint="eastAsia" w:ascii="仿宋" w:hAnsi="仿宋" w:eastAsia="仿宋" w:cs="仿宋"/>
                <w:color w:val="auto"/>
                <w:sz w:val="24"/>
                <w:szCs w:val="24"/>
                <w:u w:val="none"/>
                <w:lang w:val="en-US" w:eastAsia="zh-CN"/>
              </w:rPr>
              <w:t xml:space="preserve"> 产品运输</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10、策划适合组织体系运行需要，未发生更改，策划情况符合标准要求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产品实现策划的输出的信息充分，输出内容满足标准要求和企业实际。</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设计开发</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8.3</w:t>
            </w:r>
          </w:p>
        </w:tc>
        <w:tc>
          <w:tcPr>
            <w:tcW w:w="1000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该组织</w:t>
            </w:r>
            <w:r>
              <w:rPr>
                <w:rFonts w:hint="eastAsia" w:ascii="仿宋" w:hAnsi="仿宋" w:eastAsia="仿宋" w:cs="仿宋"/>
                <w:b w:val="0"/>
                <w:bCs w:val="0"/>
                <w:color w:val="auto"/>
                <w:sz w:val="24"/>
                <w:szCs w:val="24"/>
                <w:u w:val="none"/>
                <w:lang w:val="en-US" w:eastAsia="zh-CN"/>
              </w:rPr>
              <w:t>于2021年8月成立，</w:t>
            </w:r>
            <w:r>
              <w:rPr>
                <w:rFonts w:hint="eastAsia" w:ascii="仿宋" w:hAnsi="仿宋" w:eastAsia="仿宋" w:cs="仿宋"/>
                <w:color w:val="auto"/>
                <w:sz w:val="24"/>
                <w:szCs w:val="24"/>
                <w:u w:val="none"/>
              </w:rPr>
              <w:t>依据</w:t>
            </w:r>
            <w:r>
              <w:rPr>
                <w:rFonts w:hint="eastAsia"/>
                <w:color w:val="auto"/>
                <w:szCs w:val="18"/>
              </w:rPr>
              <w:t>公司生产的产品是按国</w:t>
            </w:r>
            <w:r>
              <w:rPr>
                <w:rFonts w:hint="eastAsia"/>
                <w:color w:val="auto"/>
                <w:szCs w:val="18"/>
                <w:lang w:val="en-US" w:eastAsia="zh-CN"/>
              </w:rPr>
              <w:t>家标准</w:t>
            </w:r>
            <w:r>
              <w:rPr>
                <w:rFonts w:hint="eastAsia"/>
                <w:color w:val="auto"/>
                <w:szCs w:val="18"/>
              </w:rPr>
              <w:t>生产，</w:t>
            </w:r>
            <w:r>
              <w:rPr>
                <w:rFonts w:hint="eastAsia" w:ascii="仿宋" w:hAnsi="仿宋" w:eastAsia="仿宋" w:cs="仿宋"/>
                <w:b w:val="0"/>
                <w:bCs w:val="0"/>
                <w:color w:val="auto"/>
                <w:sz w:val="24"/>
                <w:szCs w:val="24"/>
                <w:u w:val="none"/>
                <w:lang w:val="en-US" w:eastAsia="zh-CN"/>
              </w:rPr>
              <w:t>主要为喷涂加工的生产，目前</w:t>
            </w:r>
            <w:r>
              <w:rPr>
                <w:rFonts w:hint="eastAsia" w:ascii="仿宋" w:hAnsi="仿宋" w:eastAsia="仿宋" w:cs="仿宋"/>
                <w:color w:val="auto"/>
                <w:sz w:val="24"/>
                <w:szCs w:val="24"/>
                <w:u w:val="none"/>
              </w:rPr>
              <w:t>流程、工艺、人员、设备均未发生变更，目前不存在产品设计和开发情况，基本符合。</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生产和服务提供的控制</w:t>
            </w:r>
          </w:p>
        </w:tc>
        <w:tc>
          <w:tcPr>
            <w:tcW w:w="96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8.5</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u w:val="none"/>
              </w:rPr>
              <w:t>1</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p>
        </w:tc>
        <w:tc>
          <w:tcPr>
            <w:tcW w:w="10004"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企业根据国家标准、行业标准中华人民共和国产品质量法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2018年、中华人民共和国标准化法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2018年、中华人民共和国安全生产法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w:t>
            </w:r>
            <w:r>
              <w:rPr>
                <w:rFonts w:hint="eastAsia" w:ascii="仿宋" w:hAnsi="仿宋" w:eastAsia="仿宋" w:cs="仿宋"/>
                <w:color w:val="auto"/>
                <w:sz w:val="24"/>
                <w:szCs w:val="24"/>
                <w:highlight w:val="none"/>
                <w:u w:val="none"/>
                <w:lang w:val="en-US" w:eastAsia="zh-CN"/>
              </w:rPr>
              <w:t>21</w:t>
            </w:r>
            <w:r>
              <w:rPr>
                <w:rFonts w:hint="eastAsia" w:ascii="仿宋" w:hAnsi="仿宋" w:eastAsia="仿宋" w:cs="仿宋"/>
                <w:color w:val="auto"/>
                <w:sz w:val="24"/>
                <w:szCs w:val="24"/>
                <w:highlight w:val="none"/>
                <w:u w:val="none"/>
              </w:rPr>
              <w:t>年、民法典</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2021年、GB/T1771-2007色漆和清漆 耐中性盐雾性能的测定</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JGT495-2016 钢门窗粉末静电喷涂涂层技术条件</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GB/T 37356-2019  色漆和清漆 涂层目视评定的光照条件和方法</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GB/T 13452.2-2008色漆和清漆 漆膜厚度的测定</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GB/T 9271-2008色漆和清漆 标准试板</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GB/T 9286-1998色漆和清漆 漆膜的划格试验</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GB15607-2008涂装作业安全规程 粉末静电喷涂工艺安全</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 14443-2007涂装作业安全规程 涂层烘干室安全技术规定</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GB 14773-2007涂装作业安全规程 静电喷枪及其辅助装置安全技术条件</w:t>
            </w:r>
            <w:r>
              <w:rPr>
                <w:rFonts w:hint="eastAsia" w:ascii="仿宋" w:hAnsi="仿宋" w:eastAsia="仿宋" w:cs="仿宋"/>
                <w:color w:val="auto"/>
                <w:sz w:val="24"/>
                <w:szCs w:val="24"/>
                <w:highlight w:val="none"/>
                <w:u w:val="none"/>
                <w:lang w:val="en-US" w:eastAsia="zh-CN"/>
              </w:rPr>
              <w:t>等</w:t>
            </w:r>
            <w:r>
              <w:rPr>
                <w:rFonts w:hint="eastAsia" w:ascii="仿宋" w:hAnsi="仿宋" w:eastAsia="仿宋" w:cs="仿宋"/>
                <w:color w:val="auto"/>
                <w:sz w:val="24"/>
                <w:szCs w:val="24"/>
                <w:highlight w:val="none"/>
                <w:u w:val="none"/>
              </w:rPr>
              <w:t>进行生产</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根据已经评审的合同向生产车间下达生产通知单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抽：生产</w:t>
            </w:r>
            <w:r>
              <w:rPr>
                <w:rFonts w:hint="eastAsia" w:ascii="仿宋" w:hAnsi="仿宋" w:eastAsia="仿宋" w:cs="仿宋"/>
                <w:color w:val="auto"/>
                <w:sz w:val="24"/>
                <w:szCs w:val="24"/>
                <w:highlight w:val="none"/>
                <w:u w:val="none"/>
                <w:lang w:val="en-US" w:eastAsia="zh-CN"/>
              </w:rPr>
              <w:t>计划</w:t>
            </w:r>
            <w:r>
              <w:rPr>
                <w:rFonts w:hint="eastAsia" w:ascii="仿宋" w:hAnsi="仿宋" w:eastAsia="仿宋" w:cs="仿宋"/>
                <w:color w:val="auto"/>
                <w:sz w:val="24"/>
                <w:szCs w:val="24"/>
                <w:highlight w:val="none"/>
                <w:u w:val="none"/>
              </w:rPr>
              <w:t>单，序号、</w:t>
            </w:r>
            <w:r>
              <w:rPr>
                <w:rFonts w:hint="eastAsia" w:ascii="仿宋" w:hAnsi="仿宋" w:eastAsia="仿宋" w:cs="仿宋"/>
                <w:color w:val="auto"/>
                <w:sz w:val="24"/>
                <w:szCs w:val="24"/>
                <w:highlight w:val="none"/>
                <w:u w:val="none"/>
                <w:lang w:val="en-US" w:eastAsia="zh-CN"/>
              </w:rPr>
              <w:t>产品编号、</w:t>
            </w:r>
            <w:r>
              <w:rPr>
                <w:rFonts w:hint="eastAsia" w:ascii="仿宋" w:hAnsi="仿宋" w:eastAsia="仿宋" w:cs="仿宋"/>
                <w:color w:val="auto"/>
                <w:sz w:val="24"/>
                <w:szCs w:val="24"/>
                <w:highlight w:val="none"/>
                <w:u w:val="none"/>
              </w:rPr>
              <w:t>产品名称、数量、</w:t>
            </w:r>
            <w:r>
              <w:rPr>
                <w:rFonts w:hint="eastAsia" w:ascii="仿宋" w:hAnsi="仿宋" w:eastAsia="仿宋" w:cs="仿宋"/>
                <w:color w:val="auto"/>
                <w:sz w:val="24"/>
                <w:szCs w:val="24"/>
                <w:highlight w:val="none"/>
                <w:u w:val="none"/>
                <w:lang w:val="en-US" w:eastAsia="zh-CN"/>
              </w:rPr>
              <w:t>预计开工时间、</w:t>
            </w:r>
            <w:r>
              <w:rPr>
                <w:rFonts w:hint="eastAsia" w:ascii="仿宋" w:hAnsi="仿宋" w:eastAsia="仿宋" w:cs="仿宋"/>
                <w:color w:val="auto"/>
                <w:sz w:val="24"/>
                <w:szCs w:val="24"/>
                <w:highlight w:val="none"/>
                <w:u w:val="none"/>
              </w:rPr>
              <w:t>要求完成时间等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color w:val="auto"/>
                <w:highlight w:val="none"/>
                <w:u w:val="none"/>
                <w:lang w:val="en-US" w:eastAsia="zh-CN"/>
              </w:rPr>
            </w:pPr>
            <w:r>
              <w:rPr>
                <w:rFonts w:hint="eastAsia" w:ascii="仿宋" w:hAnsi="仿宋" w:eastAsia="仿宋" w:cs="仿宋"/>
                <w:color w:val="auto"/>
                <w:sz w:val="24"/>
                <w:szCs w:val="24"/>
                <w:highlight w:val="none"/>
                <w:u w:val="none"/>
                <w:lang w:val="en-US" w:eastAsia="zh-CN"/>
              </w:rPr>
              <w:t>抽车间排产情况：均按照总计划执行生产安排，生产秩序相对合理。</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基本符合要求。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●策划了</w:t>
            </w:r>
            <w:r>
              <w:rPr>
                <w:rFonts w:hint="eastAsia" w:ascii="仿宋" w:hAnsi="仿宋" w:eastAsia="仿宋" w:cs="仿宋"/>
                <w:color w:val="auto"/>
                <w:sz w:val="24"/>
                <w:szCs w:val="24"/>
                <w:highlight w:val="none"/>
                <w:u w:val="none"/>
                <w:lang w:val="en-US" w:eastAsia="zh-CN"/>
              </w:rPr>
              <w:t>产品生产及服务</w:t>
            </w:r>
            <w:r>
              <w:rPr>
                <w:rFonts w:hint="eastAsia" w:ascii="仿宋" w:hAnsi="仿宋" w:eastAsia="仿宋" w:cs="仿宋"/>
                <w:color w:val="auto"/>
                <w:sz w:val="24"/>
                <w:szCs w:val="24"/>
                <w:highlight w:val="none"/>
                <w:u w:val="none"/>
              </w:rPr>
              <w:t>流程：见8.1条款</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●执行标准：中华人民共和国产品质量法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2018年、中华人民共和国标准化法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2018年、中华人民共和国安全生产法</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w:t>
            </w:r>
            <w:r>
              <w:rPr>
                <w:rFonts w:hint="eastAsia" w:ascii="仿宋" w:hAnsi="仿宋" w:eastAsia="仿宋" w:cs="仿宋"/>
                <w:color w:val="auto"/>
                <w:sz w:val="24"/>
                <w:szCs w:val="24"/>
                <w:highlight w:val="none"/>
                <w:u w:val="none"/>
                <w:lang w:val="en-US" w:eastAsia="zh-CN"/>
              </w:rPr>
              <w:t>21</w:t>
            </w:r>
            <w:r>
              <w:rPr>
                <w:rFonts w:hint="eastAsia" w:ascii="仿宋" w:hAnsi="仿宋" w:eastAsia="仿宋" w:cs="仿宋"/>
                <w:color w:val="auto"/>
                <w:sz w:val="24"/>
                <w:szCs w:val="24"/>
                <w:highlight w:val="none"/>
                <w:u w:val="none"/>
              </w:rPr>
              <w:t>年、民法典</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2021年、</w:t>
            </w:r>
            <w:r>
              <w:rPr>
                <w:rFonts w:hint="eastAsia" w:ascii="宋体" w:hAnsi="宋体" w:eastAsia="宋体" w:cs="宋体"/>
                <w:color w:val="auto"/>
                <w:sz w:val="24"/>
                <w:szCs w:val="24"/>
                <w:u w:val="none"/>
              </w:rPr>
              <w:t>GB/T1771-2007色漆和清漆 耐中性盐雾性能的测定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JGT495-2016 钢门窗粉末静电喷涂涂层技术条件</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37356-2019  色漆和清漆 涂层目视评定的光照条件和方法</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13452.2-2008色漆和清漆 漆膜厚度的测定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9271-2008色漆和清漆 标准试板</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GB/T 9286-1998色漆和清漆 漆膜的划格试验</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GB15607-2008涂装作业安全规程 粉末静电喷涂工艺安全</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 14443-2007涂装作业安全规程 涂层烘干室安全技术规定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GB 14773-2007涂装作业安全规程 静电喷枪及其辅助装置安全技术条件</w:t>
            </w:r>
            <w:r>
              <w:rPr>
                <w:rFonts w:hint="eastAsia" w:ascii="仿宋" w:hAnsi="仿宋" w:eastAsia="仿宋" w:cs="仿宋"/>
                <w:color w:val="auto"/>
                <w:sz w:val="24"/>
                <w:szCs w:val="24"/>
                <w:highlight w:val="none"/>
                <w:u w:val="none"/>
              </w:rPr>
              <w:t>等</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以上信息能够指导生产。</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●可获得和使用适宜的监视和测量资源：</w:t>
            </w:r>
            <w:r>
              <w:rPr>
                <w:color w:val="auto"/>
                <w:highlight w:val="none"/>
                <w:u w:val="none"/>
              </w:rPr>
              <w:t xml:space="preserve"> </w:t>
            </w:r>
            <w:r>
              <w:rPr>
                <w:rFonts w:hint="eastAsia" w:ascii="仿宋" w:hAnsi="仿宋" w:eastAsia="仿宋" w:cs="仿宋"/>
                <w:color w:val="auto"/>
                <w:sz w:val="24"/>
                <w:szCs w:val="24"/>
                <w:u w:val="none"/>
              </w:rPr>
              <w:t>膜厚用测厚仪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百格刀</w:t>
            </w:r>
            <w:r>
              <w:rPr>
                <w:rFonts w:hint="eastAsia" w:ascii="仿宋" w:hAnsi="仿宋" w:eastAsia="仿宋" w:cs="仿宋"/>
                <w:color w:val="auto"/>
                <w:sz w:val="24"/>
                <w:szCs w:val="24"/>
                <w:highlight w:val="none"/>
                <w:u w:val="none"/>
              </w:rPr>
              <w:t>等。监视和测量设备满足检验需要</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●在适当阶段实施监视和测量活动，以验证是否符合过程或输出的控制准则以及产品和服务的接收准则：检验标准、操作规程等作业指导文件实施过程控制。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产品通过检验等来对产品实现过程进行控制。生产过程中由专人进行检查，完成后由客户进行验收，符合要求。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●为过程的运行使用适宜的基础设施，并保持适宜的环境：配备了</w:t>
            </w:r>
            <w:r>
              <w:rPr>
                <w:rFonts w:hint="eastAsia" w:ascii="仿宋" w:hAnsi="仿宋" w:eastAsia="仿宋" w:cs="仿宋"/>
                <w:color w:val="auto"/>
                <w:sz w:val="24"/>
                <w:szCs w:val="24"/>
                <w:u w:val="none"/>
              </w:rPr>
              <w:t>明泉500米链条线体</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 xml:space="preserve">燃烧机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喷淋槽</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金马粉房</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金马手动静电喷枪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固化炉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烘干炉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金马自动喷枪</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打磨机等</w:t>
            </w:r>
            <w:r>
              <w:rPr>
                <w:rFonts w:hint="eastAsia" w:ascii="仿宋" w:hAnsi="仿宋" w:eastAsia="仿宋" w:cs="仿宋"/>
                <w:color w:val="auto"/>
                <w:sz w:val="24"/>
                <w:szCs w:val="24"/>
                <w:highlight w:val="none"/>
                <w:u w:val="none"/>
              </w:rPr>
              <w:t>生产设备，人员经过培训上岗等。基本满足工作需要。资源基本满足。</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●生产环境为</w:t>
            </w:r>
            <w:r>
              <w:rPr>
                <w:rFonts w:hint="eastAsia" w:ascii="仿宋" w:hAnsi="仿宋" w:eastAsia="仿宋" w:cs="仿宋"/>
                <w:color w:val="auto"/>
                <w:sz w:val="24"/>
                <w:szCs w:val="24"/>
                <w:highlight w:val="none"/>
                <w:u w:val="none"/>
                <w:lang w:val="en-US" w:eastAsia="zh-CN"/>
              </w:rPr>
              <w:t>防尘、噪声</w:t>
            </w:r>
            <w:r>
              <w:rPr>
                <w:rFonts w:hint="eastAsia" w:ascii="仿宋" w:hAnsi="仿宋" w:eastAsia="仿宋" w:cs="仿宋"/>
                <w:color w:val="auto"/>
                <w:sz w:val="24"/>
                <w:szCs w:val="24"/>
                <w:highlight w:val="none"/>
                <w:u w:val="none"/>
              </w:rPr>
              <w:t>，无其他特殊要求。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●办公区内有消防器材，有效期内。</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●配备胜任的人员，包括所需求的资格：初中以上学历；视力良好；有一定工作经验、经过培训、考核合格后上岗。</w:t>
            </w:r>
          </w:p>
          <w:p>
            <w:pPr>
              <w:rPr>
                <w:rFonts w:hint="default"/>
                <w:color w:val="auto"/>
                <w:u w:val="single"/>
                <w:lang w:val="en-US"/>
              </w:rPr>
            </w:pPr>
            <w:r>
              <w:rPr>
                <w:rFonts w:hint="eastAsia" w:ascii="仿宋" w:hAnsi="仿宋" w:eastAsia="仿宋" w:cs="仿宋"/>
                <w:color w:val="auto"/>
                <w:sz w:val="24"/>
                <w:szCs w:val="24"/>
                <w:highlight w:val="none"/>
                <w:u w:val="none"/>
              </w:rPr>
              <w:t>●若输出结果不能由后续的监视或测量加以验证，应对生产和服务提供过程实现策划结果的能力进行确认，并定期再确认：经确认，生产过程中需要确认的过程为</w:t>
            </w:r>
            <w:r>
              <w:rPr>
                <w:rFonts w:hint="eastAsia" w:ascii="仿宋" w:hAnsi="仿宋" w:eastAsia="仿宋" w:cs="仿宋"/>
                <w:color w:val="auto"/>
                <w:sz w:val="24"/>
                <w:szCs w:val="24"/>
                <w:highlight w:val="none"/>
                <w:u w:val="none"/>
                <w:lang w:val="en-US" w:eastAsia="zh-CN"/>
              </w:rPr>
              <w:t>喷涂过程，关键过程为质检过程</w:t>
            </w:r>
            <w:r>
              <w:rPr>
                <w:rFonts w:hint="eastAsia" w:ascii="仿宋" w:hAnsi="仿宋" w:eastAsia="仿宋" w:cs="仿宋"/>
                <w:color w:val="auto"/>
                <w:sz w:val="24"/>
                <w:szCs w:val="24"/>
                <w:highlight w:val="none"/>
                <w:u w:val="none"/>
              </w:rPr>
              <w:t>。人员均经过培训后上岗，符合要求。抽</w:t>
            </w:r>
            <w:r>
              <w:rPr>
                <w:rFonts w:hint="eastAsia" w:ascii="仿宋" w:hAnsi="仿宋" w:eastAsia="仿宋" w:cs="仿宋"/>
                <w:color w:val="auto"/>
                <w:sz w:val="24"/>
                <w:szCs w:val="24"/>
                <w:highlight w:val="none"/>
                <w:u w:val="none"/>
                <w:lang w:val="en-US" w:eastAsia="zh-CN"/>
              </w:rPr>
              <w:t>喷粉</w:t>
            </w:r>
            <w:r>
              <w:rPr>
                <w:rFonts w:hint="eastAsia" w:ascii="仿宋" w:hAnsi="仿宋" w:eastAsia="仿宋" w:cs="仿宋"/>
                <w:color w:val="auto"/>
                <w:sz w:val="24"/>
                <w:szCs w:val="24"/>
                <w:highlight w:val="none"/>
                <w:u w:val="none"/>
              </w:rPr>
              <w:t>过程确认记录</w:t>
            </w:r>
            <w:r>
              <w:rPr>
                <w:rFonts w:hint="eastAsia" w:ascii="仿宋" w:hAnsi="仿宋" w:eastAsia="仿宋" w:cs="仿宋"/>
                <w:color w:val="auto"/>
                <w:sz w:val="24"/>
                <w:szCs w:val="24"/>
                <w:highlight w:val="none"/>
                <w:u w:val="none"/>
                <w:lang w:val="en-US" w:eastAsia="zh-CN"/>
              </w:rPr>
              <w:t>单</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u w:val="none"/>
                <w:lang w:val="en-US" w:eastAsia="zh-CN"/>
              </w:rPr>
              <w:t>严格按照工艺文件要求记录喷涂链速、固化炉温度、固化炉链速等；质检过程详细见8.6</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●采取措施防止人为错误：各工序制定有操作规程，明确了操作要求，各工序互检，避免人为失误</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●实施放行、交付和交付后的活动：按照各</w:t>
            </w:r>
            <w:r>
              <w:rPr>
                <w:rFonts w:hint="eastAsia" w:ascii="仿宋" w:hAnsi="仿宋" w:eastAsia="仿宋" w:cs="仿宋"/>
                <w:color w:val="auto"/>
                <w:sz w:val="24"/>
                <w:szCs w:val="24"/>
                <w:highlight w:val="none"/>
                <w:u w:val="none"/>
                <w:lang w:val="en-US" w:eastAsia="zh-CN"/>
              </w:rPr>
              <w:t>工艺文件/配比</w:t>
            </w:r>
            <w:r>
              <w:rPr>
                <w:rFonts w:hint="eastAsia" w:ascii="仿宋" w:hAnsi="仿宋" w:eastAsia="仿宋" w:cs="仿宋"/>
                <w:color w:val="auto"/>
                <w:sz w:val="24"/>
                <w:szCs w:val="24"/>
                <w:highlight w:val="none"/>
                <w:u w:val="none"/>
              </w:rPr>
              <w:t>要求实施过程控制，以确保有效实施放行、交付和交付后活动。</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现场巡视生产现场：生产现场</w:t>
            </w:r>
            <w:r>
              <w:rPr>
                <w:rFonts w:hint="eastAsia" w:ascii="仿宋" w:hAnsi="仿宋" w:eastAsia="仿宋" w:cs="仿宋"/>
                <w:color w:val="auto"/>
                <w:sz w:val="24"/>
                <w:szCs w:val="24"/>
                <w:highlight w:val="none"/>
                <w:u w:val="none"/>
                <w:lang w:val="en-US" w:eastAsia="zh-CN"/>
              </w:rPr>
              <w:t>较</w:t>
            </w:r>
            <w:r>
              <w:rPr>
                <w:rFonts w:hint="eastAsia" w:ascii="仿宋" w:hAnsi="仿宋" w:eastAsia="仿宋" w:cs="仿宋"/>
                <w:color w:val="auto"/>
                <w:sz w:val="24"/>
                <w:szCs w:val="24"/>
                <w:highlight w:val="none"/>
                <w:u w:val="none"/>
              </w:rPr>
              <w:t>干净整洁、设备运转正常。人员配备符合要求。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lang w:val="en-US" w:eastAsia="zh-CN"/>
              </w:rPr>
              <w:t>检验人员</w:t>
            </w:r>
            <w:r>
              <w:rPr>
                <w:rFonts w:hint="eastAsia" w:ascii="仿宋" w:hAnsi="仿宋" w:eastAsia="仿宋" w:cs="仿宋"/>
                <w:color w:val="auto"/>
                <w:sz w:val="24"/>
                <w:szCs w:val="24"/>
                <w:highlight w:val="none"/>
                <w:u w:val="none"/>
              </w:rPr>
              <w:t>正在进行</w:t>
            </w:r>
            <w:r>
              <w:rPr>
                <w:rFonts w:hint="eastAsia" w:ascii="仿宋" w:hAnsi="仿宋" w:eastAsia="仿宋" w:cs="仿宋"/>
                <w:color w:val="auto"/>
                <w:sz w:val="24"/>
                <w:szCs w:val="24"/>
                <w:highlight w:val="none"/>
                <w:u w:val="none"/>
                <w:lang w:val="en-US" w:eastAsia="zh-CN"/>
              </w:rPr>
              <w:t>产品外观、膜厚的检测</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检验员李伟：正在检测控制柜门板的膜厚，记录67.5μm,符合测量标准70±10μm。抽其检验记录，“合格”，符合要求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生产车间在进行网板的喷涂作业</w:t>
            </w:r>
          </w:p>
          <w:p>
            <w:pPr>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1.生产人员李师傅在挂料，需要使用挂架工装，把产品悬挂到自动</w:t>
            </w:r>
            <w:r>
              <w:rPr>
                <w:rFonts w:hint="eastAsia" w:ascii="仿宋" w:hAnsi="仿宋" w:eastAsia="仿宋" w:cs="仿宋"/>
                <w:color w:val="auto"/>
                <w:sz w:val="24"/>
                <w:szCs w:val="24"/>
                <w:u w:val="none"/>
              </w:rPr>
              <w:t>链条线</w:t>
            </w:r>
            <w:r>
              <w:rPr>
                <w:rFonts w:hint="eastAsia" w:ascii="仿宋" w:hAnsi="仿宋" w:eastAsia="仿宋" w:cs="仿宋"/>
                <w:color w:val="auto"/>
                <w:sz w:val="24"/>
                <w:szCs w:val="24"/>
                <w:highlight w:val="none"/>
                <w:u w:val="none"/>
                <w:lang w:val="en-US" w:eastAsia="zh-CN"/>
              </w:rPr>
              <w:t>，李师傅介绍说由于喷涂作业为自动走线，所以一定要根据链条的行进速度，高效挂件，注意零件的挂点位置，避免晃动及空挂，影响最终的喷涂效果及生产效率，造成产品质量不佳或资源浪费。抽查挂件记录，详细记录了挂件名称，种类。数量、挂件位置及作业要求等，符合质量控制及加工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color w:val="auto"/>
                <w:lang w:val="en-US" w:eastAsia="zh-CN"/>
              </w:rPr>
            </w:pPr>
            <w:r>
              <w:rPr>
                <w:rFonts w:hint="eastAsia" w:ascii="仿宋" w:hAnsi="仿宋" w:eastAsia="仿宋" w:cs="仿宋"/>
                <w:color w:val="auto"/>
                <w:sz w:val="24"/>
                <w:szCs w:val="24"/>
                <w:highlight w:val="none"/>
                <w:u w:val="none"/>
                <w:lang w:val="en-US" w:eastAsia="zh-CN"/>
              </w:rPr>
              <w:t>2.生产人员王师傅在进行吹水，使用设备气枪。查生产流程卡，记录产品名称、规格、材质、数量及检查确认情况，均有检验人员确认，符合要求。</w:t>
            </w:r>
          </w:p>
          <w:p>
            <w:pPr>
              <w:numPr>
                <w:ilvl w:val="0"/>
                <w:numId w:val="0"/>
              </w:numPr>
              <w:bidi w:val="0"/>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●查生产过程：</w:t>
            </w:r>
          </w:p>
          <w:p>
            <w:pPr>
              <w:numPr>
                <w:ilvl w:val="0"/>
                <w:numId w:val="0"/>
              </w:numPr>
              <w:bidi w:val="0"/>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kern w:val="2"/>
                <w:sz w:val="24"/>
                <w:szCs w:val="24"/>
                <w:highlight w:val="none"/>
                <w:u w:val="none"/>
                <w:lang w:val="en-US" w:eastAsia="zh-CN" w:bidi="ar-SA"/>
              </w:rPr>
              <w:t xml:space="preserve">抽1：舒特中心轴管件喷涂加工      </w:t>
            </w:r>
            <w:r>
              <w:rPr>
                <w:rFonts w:hint="eastAsia" w:ascii="仿宋" w:hAnsi="仿宋" w:eastAsia="仿宋" w:cs="仿宋"/>
                <w:color w:val="auto"/>
                <w:sz w:val="24"/>
                <w:szCs w:val="24"/>
                <w:highlight w:val="none"/>
                <w:u w:val="none"/>
                <w:lang w:val="en-US" w:eastAsia="zh-CN"/>
              </w:rPr>
              <w:t>产品名称：中心轴管件</w:t>
            </w:r>
            <w:r>
              <w:rPr>
                <w:rFonts w:hint="eastAsia" w:ascii="仿宋" w:hAnsi="仿宋" w:eastAsia="仿宋" w:cs="仿宋"/>
                <w:color w:val="auto"/>
                <w:kern w:val="2"/>
                <w:sz w:val="24"/>
                <w:szCs w:val="24"/>
                <w:highlight w:val="none"/>
                <w:u w:val="none"/>
                <w:lang w:val="en-US" w:eastAsia="zh-CN" w:bidi="ar-SA"/>
              </w:rPr>
              <w:t>生产工序控制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生</w:t>
            </w:r>
            <w:r>
              <w:rPr>
                <w:rFonts w:hint="eastAsia" w:ascii="仿宋" w:hAnsi="仿宋" w:eastAsia="仿宋" w:cs="仿宋"/>
                <w:color w:val="auto"/>
                <w:sz w:val="24"/>
                <w:szCs w:val="24"/>
                <w:highlight w:val="none"/>
                <w:u w:val="none"/>
                <w:lang w:val="en-US" w:eastAsia="zh-CN"/>
              </w:rPr>
              <w:t>产工艺：检查产品毛坯有无缺陷-产品挂件-药液处理(水洗，除油，水洗，除锈，水洗，磷化镀膜，水洗)-吹水-烘干-喷粉-固化-全检-下件-全检-包装-发货</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过程控制记录：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生产日期：2021.10.22   依据：作业指导书生产流程卡</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查工序控制：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----来料工序，涉及出库数量及规格等，操作者李伟，询问控制要求数量、材质、外观、缺陷等，了解现场生产情况，与记录情况吻合，符合操作规程。</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----挂件工序，使用工装：专用挂具，操作李小君，银宝元；按照操作规程。询问控制技术要求，挂具选择、挂点位置、挂件数量等，观察实际操作，符合操作规程。</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查药业处理工序：负责人李伟，按照作业指导书要求完成配液的填充，查记录情况：有填充时间、填充药业名称、填充量等，符合操作规程。整个清理过程除药液控制需人工操作外，其它过程为自动线程序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查喷粉记录：操作员程伟涛正在喷涂，喷粉为手工操作，查喷涂记录，记录有产品名称、喷粉颜色、喷粉型号、喷枪出口压力、静电电源，主参数设定：静电电压：80kV，喷枪出口压力0.8MPa，中控仪表示数：为80,0.8，记录符合规程。</w:t>
            </w:r>
          </w:p>
          <w:p>
            <w:pPr>
              <w:pStyle w:val="2"/>
              <w:rPr>
                <w:rFonts w:hint="default"/>
                <w:lang w:val="en-US" w:eastAsia="zh-CN"/>
              </w:rPr>
            </w:pPr>
            <w:r>
              <w:rPr>
                <w:rFonts w:hint="eastAsia" w:ascii="仿宋" w:hAnsi="仿宋" w:eastAsia="仿宋" w:cs="仿宋"/>
                <w:color w:val="auto"/>
                <w:sz w:val="24"/>
                <w:szCs w:val="24"/>
                <w:highlight w:val="none"/>
                <w:u w:val="none"/>
                <w:lang w:val="en-US" w:eastAsia="zh-CN"/>
              </w:rPr>
              <w:t>喷粉过程为关键特殊过程，经现场确认操作人员邵佳伟经由企业对人员能力、设备、材料、工艺方法等进行了培训考核，提供了关键过程确认报告书，观察现场控制过程符合工艺要求。提供喷粉记录文件：</w:t>
            </w:r>
            <w:r>
              <w:rPr>
                <w:rFonts w:hint="default"/>
                <w:lang w:val="en-US" w:eastAsia="zh-CN"/>
              </w:rPr>
              <w:drawing>
                <wp:inline distT="0" distB="0" distL="114300" distR="114300">
                  <wp:extent cx="5142230" cy="2511425"/>
                  <wp:effectExtent l="0" t="0" r="8890" b="3175"/>
                  <wp:docPr id="8" name="图片 8" descr="1641705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1705285(1)"/>
                          <pic:cNvPicPr>
                            <a:picLocks noChangeAspect="1"/>
                          </pic:cNvPicPr>
                        </pic:nvPicPr>
                        <pic:blipFill>
                          <a:blip r:embed="rId8"/>
                          <a:stretch>
                            <a:fillRect/>
                          </a:stretch>
                        </pic:blipFill>
                        <pic:spPr>
                          <a:xfrm>
                            <a:off x="0" y="0"/>
                            <a:ext cx="5142230" cy="2511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----查固化工序：固化工序由邵小伟负责进行参数设定，记录炉温：I段200℃，二段206摄氏度，三段198℃，标准要求炉</w:t>
            </w:r>
            <w:bookmarkStart w:id="0" w:name="_GoBack"/>
            <w:bookmarkEnd w:id="0"/>
            <w:r>
              <w:rPr>
                <w:rFonts w:hint="eastAsia" w:ascii="仿宋" w:hAnsi="仿宋" w:eastAsia="仿宋" w:cs="仿宋"/>
                <w:color w:val="auto"/>
                <w:sz w:val="24"/>
                <w:szCs w:val="24"/>
                <w:highlight w:val="none"/>
                <w:u w:val="none"/>
                <w:lang w:val="en-US" w:eastAsia="zh-CN"/>
              </w:rPr>
              <w:t>温200±10℃，符合要求。  链速：0.06m/s，符合作业指导书规定0.05±0.02要求。查固化炉显示温度，示数201℃，符合设定要求。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----下件工序：负责人张立明，林全国，查记录记录数量，名称，控制要求为轻拿轻放，避免磕碰划伤，符合作业指导书要求。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----检查工序见8.6.</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----包装工序负责人郭心怡、闫富强，包装使用缠绕膜、塑料袋，控制要求为独立包装，码放整齐后用缠绕膜整体包裹，产品间避免磕碰且要紧密接触。查实际包装完成情况，符合作业指导书要求。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检验：李伟 ，检验日期：2021.10.25，检验结论：符合要求。</w:t>
            </w:r>
          </w:p>
          <w:p>
            <w:pPr>
              <w:keepNext w:val="0"/>
              <w:keepLines w:val="0"/>
              <w:pageBreakBefore w:val="0"/>
              <w:widowControl w:val="0"/>
              <w:kinsoku/>
              <w:wordWrap/>
              <w:overflowPunct/>
              <w:topLinePunct w:val="0"/>
              <w:autoSpaceDE/>
              <w:autoSpaceDN/>
              <w:bidi w:val="0"/>
              <w:adjustRightInd/>
              <w:spacing w:after="0" w:line="360" w:lineRule="auto"/>
              <w:ind w:firstLine="480" w:firstLineChars="200"/>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生产车间经理介绍，本公司产品为多为批量小件产品，产品的生产各工序基本实现的半自动/自动化形式生产，生产跟踪卡主要记录挂件、固化、烘干、喷涂、检验工序等，每批量产品制作完成后，记录跟踪卡交到办公室，由办公室整理，归档，以便后期质量跟踪。抽查归档文件，基本符合要求。</w:t>
            </w:r>
          </w:p>
          <w:p>
            <w:pPr>
              <w:keepNext w:val="0"/>
              <w:keepLines w:val="0"/>
              <w:pageBreakBefore w:val="0"/>
              <w:widowControl w:val="0"/>
              <w:numPr>
                <w:ilvl w:val="0"/>
                <w:numId w:val="3"/>
              </w:numPr>
              <w:kinsoku/>
              <w:wordWrap/>
              <w:overflowPunct/>
              <w:topLinePunct w:val="0"/>
              <w:autoSpaceDE/>
              <w:autoSpaceDN/>
              <w:bidi w:val="0"/>
              <w:adjustRightInd/>
              <w:spacing w:after="0" w:line="360" w:lineRule="auto"/>
              <w:ind w:left="420" w:leftChars="0" w:hanging="420" w:firstLineChars="0"/>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成品库正在进行入库</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库管员张师傅正在确认数量、产品型号和入库申请单是否一致，包装质量是否完好，后办理入库。</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抽入库单记录产品名称、产品型号、产品数量、产品批次、产品客户名称、货位，符合要求。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u w:val="none"/>
                <w:lang w:val="en-US" w:eastAsia="zh-CN"/>
              </w:rPr>
              <w:t>生产过程受控</w:t>
            </w:r>
          </w:p>
        </w:tc>
        <w:tc>
          <w:tcPr>
            <w:tcW w:w="1585" w:type="dxa"/>
            <w:tcBorders>
              <w:bottom w:val="single" w:color="auto" w:sz="4" w:space="0"/>
            </w:tcBorders>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216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标识和可追溯性</w:t>
            </w:r>
          </w:p>
        </w:tc>
        <w:tc>
          <w:tcPr>
            <w:tcW w:w="96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8.5.2</w:t>
            </w:r>
          </w:p>
        </w:tc>
        <w:tc>
          <w:tcPr>
            <w:tcW w:w="1000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《质量手册》中说明产品标识包括识别产品的客户标识、生产企业名称、电话等内容，还应包括能够识别检验状态的内容；</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1、产品状态标识应包括以下内容：</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 a）产品的名称、客户信息、产品型号等；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 xml:space="preserve"> b）检验状态：待检、合格、不合格、待判定。</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2、标识方式主要有：存放区域</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加工区域</w:t>
            </w:r>
            <w:r>
              <w:rPr>
                <w:rFonts w:hint="eastAsia" w:ascii="仿宋" w:hAnsi="仿宋" w:eastAsia="仿宋" w:cs="仿宋"/>
                <w:color w:val="auto"/>
                <w:sz w:val="24"/>
                <w:szCs w:val="24"/>
                <w:u w:val="none"/>
              </w:rPr>
              <w:t>和外包装物标识及记录等；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在现场检查中看到，正在生产的产品上均有产品状态标识卡，内容有：客户标识、规格等。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成品上有产品标识签，内容有：客户名称、物料名称、数量、检验员、日期</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查看</w:t>
            </w:r>
            <w:r>
              <w:rPr>
                <w:rFonts w:hint="eastAsia" w:ascii="仿宋" w:hAnsi="仿宋" w:eastAsia="仿宋" w:cs="仿宋"/>
                <w:color w:val="auto"/>
                <w:sz w:val="24"/>
                <w:szCs w:val="24"/>
                <w:u w:val="none"/>
                <w:lang w:val="en-US" w:eastAsia="zh-CN"/>
              </w:rPr>
              <w:t>存放区</w:t>
            </w:r>
            <w:r>
              <w:rPr>
                <w:rFonts w:hint="eastAsia" w:ascii="仿宋" w:hAnsi="仿宋" w:eastAsia="仿宋" w:cs="仿宋"/>
                <w:color w:val="auto"/>
                <w:sz w:val="24"/>
                <w:szCs w:val="24"/>
                <w:u w:val="none"/>
              </w:rPr>
              <w:t>存放成品标识，企业对</w:t>
            </w:r>
            <w:r>
              <w:rPr>
                <w:rFonts w:hint="eastAsia" w:ascii="仿宋" w:hAnsi="仿宋" w:eastAsia="仿宋" w:cs="仿宋"/>
                <w:color w:val="auto"/>
                <w:sz w:val="24"/>
                <w:szCs w:val="24"/>
                <w:u w:val="none"/>
                <w:lang w:val="en-US" w:eastAsia="zh-CN"/>
              </w:rPr>
              <w:t>存放区</w:t>
            </w:r>
            <w:r>
              <w:rPr>
                <w:rFonts w:hint="eastAsia" w:ascii="仿宋" w:hAnsi="仿宋" w:eastAsia="仿宋" w:cs="仿宋"/>
                <w:color w:val="auto"/>
                <w:sz w:val="24"/>
                <w:szCs w:val="24"/>
                <w:u w:val="none"/>
              </w:rPr>
              <w:t>进行了分区，按</w:t>
            </w:r>
            <w:r>
              <w:rPr>
                <w:rFonts w:hint="eastAsia" w:ascii="仿宋" w:hAnsi="仿宋" w:eastAsia="仿宋" w:cs="仿宋"/>
                <w:color w:val="auto"/>
                <w:sz w:val="24"/>
                <w:szCs w:val="24"/>
                <w:u w:val="none"/>
                <w:lang w:val="en-US" w:eastAsia="zh-CN"/>
              </w:rPr>
              <w:t>区域名称</w:t>
            </w:r>
            <w:r>
              <w:rPr>
                <w:rFonts w:hint="eastAsia" w:ascii="仿宋" w:hAnsi="仿宋" w:eastAsia="仿宋" w:cs="仿宋"/>
                <w:color w:val="auto"/>
                <w:sz w:val="24"/>
                <w:szCs w:val="24"/>
                <w:u w:val="none"/>
              </w:rPr>
              <w:t>进行标识，不同客户、不同规格产品分别存放。</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可追溯性：进货单号→生产</w:t>
            </w:r>
            <w:r>
              <w:rPr>
                <w:rFonts w:hint="eastAsia" w:ascii="仿宋" w:hAnsi="仿宋" w:eastAsia="仿宋" w:cs="仿宋"/>
                <w:color w:val="auto"/>
                <w:sz w:val="24"/>
                <w:szCs w:val="24"/>
                <w:u w:val="none"/>
                <w:lang w:val="en-US" w:eastAsia="zh-CN"/>
              </w:rPr>
              <w:t>跟踪单</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入库</w:t>
            </w:r>
            <w:r>
              <w:rPr>
                <w:rFonts w:hint="eastAsia" w:ascii="仿宋" w:hAnsi="仿宋" w:eastAsia="仿宋" w:cs="仿宋"/>
                <w:color w:val="auto"/>
                <w:sz w:val="24"/>
                <w:szCs w:val="24"/>
                <w:u w:val="none"/>
              </w:rPr>
              <w:t>记录，保证了公司的每件产品出公司后仍能根据标号查到产品从进货到加工到生产的每个环节的信息。</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追溯路径为：</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质量证明书 →</w:t>
            </w:r>
            <w:r>
              <w:rPr>
                <w:rFonts w:hint="eastAsia" w:ascii="仿宋" w:hAnsi="仿宋" w:eastAsia="仿宋" w:cs="仿宋"/>
                <w:color w:val="auto"/>
                <w:sz w:val="24"/>
                <w:szCs w:val="24"/>
                <w:u w:val="none"/>
                <w:lang w:val="en-US" w:eastAsia="zh-CN"/>
              </w:rPr>
              <w:t>出入库单</w:t>
            </w:r>
            <w:r>
              <w:rPr>
                <w:rFonts w:hint="eastAsia" w:ascii="仿宋" w:hAnsi="仿宋" w:eastAsia="仿宋" w:cs="仿宋"/>
                <w:color w:val="auto"/>
                <w:sz w:val="24"/>
                <w:szCs w:val="24"/>
                <w:u w:val="none"/>
              </w:rPr>
              <w:t>→生产</w:t>
            </w:r>
            <w:r>
              <w:rPr>
                <w:rFonts w:hint="eastAsia" w:ascii="仿宋" w:hAnsi="仿宋" w:eastAsia="仿宋" w:cs="仿宋"/>
                <w:color w:val="auto"/>
                <w:sz w:val="24"/>
                <w:szCs w:val="24"/>
                <w:u w:val="none"/>
                <w:lang w:val="en-US" w:eastAsia="zh-CN"/>
              </w:rPr>
              <w:t>跟踪</w:t>
            </w:r>
            <w:r>
              <w:rPr>
                <w:rFonts w:hint="eastAsia" w:ascii="仿宋" w:hAnsi="仿宋" w:eastAsia="仿宋" w:cs="仿宋"/>
                <w:color w:val="auto"/>
                <w:sz w:val="24"/>
                <w:szCs w:val="24"/>
                <w:u w:val="none"/>
              </w:rPr>
              <w:t>单→领料单 → 采购原料原标识。</w:t>
            </w:r>
          </w:p>
        </w:tc>
        <w:tc>
          <w:tcPr>
            <w:tcW w:w="1585" w:type="dxa"/>
            <w:tcBorders>
              <w:top w:val="single" w:color="auto" w:sz="4" w:space="0"/>
            </w:tcBorders>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sz w:val="24"/>
                <w:szCs w:val="24"/>
                <w:highlight w:val="none"/>
                <w:u w:val="none"/>
                <w:lang w:val="en-US" w:eastAsia="zh-CN"/>
              </w:rPr>
              <w:t>顾客或外部供方财产</w:t>
            </w:r>
          </w:p>
        </w:tc>
        <w:tc>
          <w:tcPr>
            <w:tcW w:w="960"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sz w:val="24"/>
                <w:szCs w:val="24"/>
                <w:highlight w:val="none"/>
                <w:u w:val="none"/>
                <w:lang w:val="en-US" w:eastAsia="zh-CN"/>
              </w:rPr>
              <w:t>8.5.3</w:t>
            </w:r>
          </w:p>
        </w:tc>
        <w:tc>
          <w:tcPr>
            <w:tcW w:w="10004"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该公司顾客财产主要为顾客提供的色卡、样件及顾客的个人信息等，由生产做好色卡、样件保管及业务人员做好对应信息保密工作。</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查见《客户财产交接记录》，内容包括：客户名称、提供的财产、单位(规格)、数量、移交人、接收人、备注。</w:t>
            </w:r>
            <w:r>
              <w:rPr>
                <w:rFonts w:hint="eastAsia" w:ascii="仿宋" w:hAnsi="仿宋" w:eastAsia="仿宋" w:cs="仿宋"/>
                <w:color w:val="auto"/>
                <w:sz w:val="24"/>
                <w:szCs w:val="24"/>
                <w:highlight w:val="none"/>
                <w:u w:val="none"/>
                <w:lang w:val="en-US" w:eastAsia="zh-CN"/>
              </w:rPr>
              <w:br w:type="textWrapping"/>
            </w:r>
            <w:r>
              <w:rPr>
                <w:rFonts w:hint="eastAsia" w:ascii="仿宋" w:hAnsi="仿宋" w:eastAsia="仿宋" w:cs="仿宋"/>
                <w:color w:val="auto"/>
                <w:sz w:val="24"/>
                <w:szCs w:val="24"/>
                <w:highlight w:val="none"/>
                <w:u w:val="none"/>
                <w:lang w:val="en-US" w:eastAsia="zh-CN"/>
              </w:rPr>
              <w:t>自体系建立至今，生技部共登记有</w:t>
            </w:r>
            <w:r>
              <w:rPr>
                <w:rFonts w:hint="eastAsia" w:ascii="宋体" w:hAnsi="宋体" w:eastAsia="宋体" w:cs="宋体"/>
                <w:color w:val="auto"/>
                <w:sz w:val="24"/>
                <w:szCs w:val="24"/>
                <w:highlight w:val="none"/>
                <w:u w:val="none"/>
                <w:lang w:val="en-US" w:eastAsia="zh-CN"/>
              </w:rPr>
              <w:t>天津舒特家具有限公司</w:t>
            </w:r>
            <w:r>
              <w:rPr>
                <w:rFonts w:hint="eastAsia" w:ascii="仿宋" w:hAnsi="仿宋" w:eastAsia="仿宋" w:cs="仿宋"/>
                <w:color w:val="auto"/>
                <w:sz w:val="24"/>
                <w:szCs w:val="24"/>
                <w:highlight w:val="none"/>
                <w:u w:val="none"/>
                <w:lang w:val="en-US" w:eastAsia="zh-CN"/>
              </w:rPr>
              <w:t>等客户的色卡及样件记录21次，办公室共登记有各个供方的资质信息和个人信息。</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以上顾客财产没有发生损坏、丢失或泄露现象，保管完好。</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highlight w:val="none"/>
                <w:u w:val="none"/>
                <w:lang w:val="en-US" w:eastAsia="zh-CN" w:bidi="ar-SA"/>
              </w:rPr>
            </w:pPr>
            <w:r>
              <w:rPr>
                <w:rFonts w:hint="eastAsia" w:ascii="仿宋" w:hAnsi="仿宋" w:eastAsia="仿宋" w:cs="仿宋"/>
                <w:color w:val="auto"/>
                <w:sz w:val="24"/>
                <w:szCs w:val="24"/>
                <w:highlight w:val="none"/>
                <w:u w:val="none"/>
                <w:lang w:val="en-US" w:eastAsia="zh-CN"/>
              </w:rPr>
              <w:t>经询问了解，没有顾客个人信息泄露情况发生。</w:t>
            </w:r>
          </w:p>
        </w:tc>
        <w:tc>
          <w:tcPr>
            <w:tcW w:w="1585" w:type="dxa"/>
            <w:tcBorders>
              <w:top w:val="single" w:color="auto" w:sz="4" w:space="0"/>
            </w:tcBorders>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产品防护</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8.5.4</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提供的《质量手册》中明确标识了贮存，包装，防护等方面的控制要求。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1．标识：标识采用标签，标牌，区域，检验状态等形式控制。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车间现场标识基本齐全，采用生产</w:t>
            </w:r>
            <w:r>
              <w:rPr>
                <w:rFonts w:hint="eastAsia" w:ascii="仿宋" w:hAnsi="仿宋" w:eastAsia="仿宋" w:cs="仿宋"/>
                <w:color w:val="auto"/>
                <w:sz w:val="24"/>
                <w:szCs w:val="24"/>
                <w:u w:val="none"/>
                <w:lang w:val="en-US" w:eastAsia="zh-CN"/>
              </w:rPr>
              <w:t>跟踪单</w:t>
            </w:r>
            <w:r>
              <w:rPr>
                <w:rFonts w:hint="eastAsia" w:ascii="仿宋" w:hAnsi="仿宋" w:eastAsia="仿宋" w:cs="仿宋"/>
                <w:color w:val="auto"/>
                <w:sz w:val="24"/>
                <w:szCs w:val="24"/>
                <w:u w:val="none"/>
              </w:rPr>
              <w:t>，可追溯，</w:t>
            </w:r>
            <w:r>
              <w:rPr>
                <w:rFonts w:hint="eastAsia" w:ascii="仿宋" w:hAnsi="仿宋" w:eastAsia="仿宋" w:cs="仿宋"/>
                <w:color w:val="auto"/>
                <w:sz w:val="24"/>
                <w:szCs w:val="24"/>
                <w:u w:val="none"/>
                <w:lang w:val="en-US" w:eastAsia="zh-CN"/>
              </w:rPr>
              <w:t>生产工人</w:t>
            </w:r>
            <w:r>
              <w:rPr>
                <w:rFonts w:hint="eastAsia" w:ascii="仿宋" w:hAnsi="仿宋" w:eastAsia="仿宋" w:cs="仿宋"/>
                <w:color w:val="auto"/>
                <w:sz w:val="24"/>
                <w:szCs w:val="24"/>
                <w:u w:val="none"/>
              </w:rPr>
              <w:t>，检验</w:t>
            </w:r>
            <w:r>
              <w:rPr>
                <w:rFonts w:hint="eastAsia" w:ascii="仿宋" w:hAnsi="仿宋" w:eastAsia="仿宋" w:cs="仿宋"/>
                <w:color w:val="auto"/>
                <w:sz w:val="24"/>
                <w:szCs w:val="24"/>
                <w:u w:val="none"/>
                <w:lang w:val="en-US" w:eastAsia="zh-CN"/>
              </w:rPr>
              <w:t>人</w:t>
            </w:r>
            <w:r>
              <w:rPr>
                <w:rFonts w:hint="eastAsia" w:ascii="仿宋" w:hAnsi="仿宋" w:eastAsia="仿宋" w:cs="仿宋"/>
                <w:color w:val="auto"/>
                <w:sz w:val="24"/>
                <w:szCs w:val="24"/>
                <w:u w:val="none"/>
              </w:rPr>
              <w:t>员，控制基本有效。</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2</w:t>
            </w:r>
            <w:r>
              <w:rPr>
                <w:rFonts w:hint="eastAsia" w:ascii="仿宋" w:hAnsi="仿宋" w:eastAsia="仿宋" w:cs="仿宋"/>
                <w:color w:val="auto"/>
                <w:sz w:val="24"/>
                <w:szCs w:val="24"/>
                <w:u w:val="none"/>
              </w:rPr>
              <w:t>．包装：</w:t>
            </w:r>
            <w:r>
              <w:rPr>
                <w:rFonts w:hint="eastAsia" w:ascii="仿宋" w:hAnsi="仿宋" w:eastAsia="仿宋" w:cs="仿宋"/>
                <w:color w:val="auto"/>
                <w:sz w:val="24"/>
                <w:szCs w:val="24"/>
                <w:u w:val="none"/>
                <w:lang w:val="en-US" w:eastAsia="zh-CN"/>
              </w:rPr>
              <w:t>缠绕膜底托</w:t>
            </w:r>
            <w:r>
              <w:rPr>
                <w:rFonts w:hint="eastAsia" w:ascii="仿宋" w:hAnsi="仿宋" w:eastAsia="仿宋" w:cs="仿宋"/>
                <w:color w:val="auto"/>
                <w:sz w:val="24"/>
                <w:szCs w:val="24"/>
                <w:u w:val="none"/>
              </w:rPr>
              <w:t xml:space="preserve">包装。                             </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3</w:t>
            </w:r>
            <w:r>
              <w:rPr>
                <w:rFonts w:hint="eastAsia" w:ascii="仿宋" w:hAnsi="仿宋" w:eastAsia="仿宋" w:cs="仿宋"/>
                <w:color w:val="auto"/>
                <w:sz w:val="24"/>
                <w:szCs w:val="24"/>
                <w:u w:val="none"/>
              </w:rPr>
              <w:t>．贮存：</w:t>
            </w:r>
            <w:r>
              <w:rPr>
                <w:rFonts w:hint="eastAsia" w:ascii="仿宋" w:hAnsi="仿宋" w:eastAsia="仿宋" w:cs="仿宋"/>
                <w:color w:val="auto"/>
                <w:sz w:val="24"/>
                <w:szCs w:val="24"/>
                <w:u w:val="none"/>
                <w:lang w:val="en-US" w:eastAsia="zh-CN"/>
              </w:rPr>
              <w:t>放置区</w:t>
            </w:r>
            <w:r>
              <w:rPr>
                <w:rFonts w:hint="eastAsia" w:ascii="仿宋" w:hAnsi="仿宋" w:eastAsia="仿宋" w:cs="仿宋"/>
                <w:color w:val="auto"/>
                <w:sz w:val="24"/>
                <w:szCs w:val="24"/>
                <w:u w:val="none"/>
              </w:rPr>
              <w:t>通风、采光、照明设施良好，防潮，车间正在使用的原料及半成品按区域堆放、分区、分类存放，基本适宜。</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lang w:val="en-US" w:eastAsia="zh-CN"/>
              </w:rPr>
              <w:t>4</w:t>
            </w:r>
            <w:r>
              <w:rPr>
                <w:rFonts w:hint="eastAsia" w:ascii="仿宋" w:hAnsi="仿宋" w:eastAsia="仿宋" w:cs="仿宋"/>
                <w:color w:val="auto"/>
                <w:sz w:val="24"/>
                <w:szCs w:val="24"/>
                <w:u w:val="none"/>
              </w:rPr>
              <w:t>．防护：在运输过程中用帆布篷进行覆盖，防止雨淋。</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成品单独存放区域，入库时凭入库单</w:t>
            </w:r>
            <w:r>
              <w:rPr>
                <w:rFonts w:hint="eastAsia" w:ascii="仿宋" w:hAnsi="仿宋" w:eastAsia="仿宋" w:cs="仿宋"/>
                <w:color w:val="auto"/>
                <w:sz w:val="24"/>
                <w:szCs w:val="24"/>
                <w:u w:val="none"/>
                <w:lang w:val="en-US" w:eastAsia="zh-CN"/>
              </w:rPr>
              <w:t>办理</w:t>
            </w:r>
            <w:r>
              <w:rPr>
                <w:rFonts w:hint="eastAsia" w:ascii="仿宋" w:hAnsi="仿宋" w:eastAsia="仿宋" w:cs="仿宋"/>
                <w:color w:val="auto"/>
                <w:sz w:val="24"/>
                <w:szCs w:val="24"/>
                <w:u w:val="none"/>
              </w:rPr>
              <w:t>入库，做好相应状态标识；出库时凭发货单进行出库，及时销账，做到帐、卡、物相符。</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highlight w:val="none"/>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3"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更改控制</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8.5.6</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组织明确组织应对生产和服务提供的更改进行必要的评审和控制，以确保持续地符合要求，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组织应保留形成文件的信息，包括有关更改评审结果、授权进行更改的人员以及根据评审所采取的必要措施的要求。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经了解，目前组织在生产和服务提供期间的主要变更是：</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生产计划的变更、顾客订单产品要求及数量变更、交货日期变更、法律法规变更，产品标准变更，外部供方交货不及时或质量问题，设备出现故障等。</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现场与负责人交流沟通，负责人介绍说，目前，尚无上述情况的变更，现场无变更情况</w:t>
            </w:r>
          </w:p>
        </w:tc>
        <w:tc>
          <w:tcPr>
            <w:tcW w:w="1585" w:type="dxa"/>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放行控制</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8.6</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----抽进货检验记录：自行车中心管件、门板、挂架等材料</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--查20</w:t>
            </w:r>
            <w:r>
              <w:rPr>
                <w:rFonts w:hint="eastAsia" w:ascii="仿宋" w:hAnsi="仿宋" w:eastAsia="仿宋" w:cs="仿宋"/>
                <w:color w:val="auto"/>
                <w:sz w:val="24"/>
                <w:szCs w:val="24"/>
                <w:u w:val="none"/>
                <w:lang w:val="en-US" w:eastAsia="zh-CN"/>
              </w:rPr>
              <w:t>21.8</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28</w:t>
            </w:r>
            <w:r>
              <w:rPr>
                <w:rFonts w:hint="eastAsia" w:ascii="仿宋" w:hAnsi="仿宋" w:eastAsia="仿宋" w:cs="仿宋"/>
                <w:color w:val="auto"/>
                <w:sz w:val="24"/>
                <w:szCs w:val="24"/>
                <w:u w:val="none"/>
              </w:rPr>
              <w:t>原材料检验记录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1、原材料名称：</w:t>
            </w:r>
            <w:r>
              <w:rPr>
                <w:rFonts w:hint="eastAsia" w:ascii="仿宋" w:hAnsi="仿宋" w:eastAsia="仿宋" w:cs="仿宋"/>
                <w:color w:val="auto"/>
                <w:sz w:val="24"/>
                <w:szCs w:val="24"/>
                <w:u w:val="none"/>
                <w:lang w:val="en-US" w:eastAsia="zh-CN"/>
              </w:rPr>
              <w:t>自行车中心管件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2、进厂检验项目：外观</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数量</w:t>
            </w:r>
            <w:r>
              <w:rPr>
                <w:rFonts w:hint="eastAsia" w:ascii="仿宋" w:hAnsi="仿宋" w:eastAsia="仿宋" w:cs="仿宋"/>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rPr>
            </w:pPr>
            <w:r>
              <w:rPr>
                <w:rFonts w:hint="eastAsia" w:ascii="仿宋" w:hAnsi="仿宋" w:eastAsia="仿宋" w:cs="仿宋"/>
                <w:color w:val="auto"/>
                <w:sz w:val="24"/>
                <w:szCs w:val="24"/>
                <w:u w:val="none"/>
              </w:rPr>
              <w:t>3、进货日期：202</w:t>
            </w:r>
            <w:r>
              <w:rPr>
                <w:rFonts w:hint="eastAsia" w:ascii="仿宋" w:hAnsi="仿宋" w:eastAsia="仿宋" w:cs="仿宋"/>
                <w:color w:val="auto"/>
                <w:sz w:val="24"/>
                <w:szCs w:val="24"/>
                <w:u w:val="none"/>
                <w:lang w:val="en-US" w:eastAsia="zh-CN"/>
              </w:rPr>
              <w:t>1.8.27</w:t>
            </w:r>
            <w:r>
              <w:rPr>
                <w:rFonts w:hint="eastAsia" w:ascii="仿宋" w:hAnsi="仿宋" w:eastAsia="仿宋" w:cs="仿宋"/>
                <w:color w:val="auto"/>
                <w:sz w:val="24"/>
                <w:szCs w:val="24"/>
                <w:u w:val="none"/>
              </w:rPr>
              <w:t xml:space="preserve">   数量：</w:t>
            </w:r>
            <w:r>
              <w:rPr>
                <w:rFonts w:hint="eastAsia" w:ascii="仿宋" w:hAnsi="仿宋" w:eastAsia="仿宋" w:cs="仿宋"/>
                <w:color w:val="auto"/>
                <w:sz w:val="24"/>
                <w:szCs w:val="24"/>
                <w:u w:val="none"/>
                <w:lang w:val="en-US" w:eastAsia="zh-CN"/>
              </w:rPr>
              <w:t xml:space="preserve">183件  </w:t>
            </w:r>
            <w:r>
              <w:rPr>
                <w:rFonts w:hint="eastAsia" w:ascii="仿宋" w:hAnsi="仿宋" w:eastAsia="仿宋" w:cs="仿宋"/>
                <w:color w:val="auto"/>
                <w:sz w:val="24"/>
                <w:szCs w:val="24"/>
                <w:u w:val="none"/>
              </w:rPr>
              <w:t>检验结论：合格</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检验：</w:t>
            </w:r>
            <w:r>
              <w:rPr>
                <w:rFonts w:hint="eastAsia" w:ascii="仿宋" w:hAnsi="仿宋" w:eastAsia="仿宋" w:cs="仿宋"/>
                <w:color w:val="auto"/>
                <w:sz w:val="24"/>
                <w:szCs w:val="24"/>
                <w:u w:val="none"/>
                <w:lang w:val="en-US" w:eastAsia="zh-CN"/>
              </w:rPr>
              <w:t>李伟</w:t>
            </w:r>
            <w:r>
              <w:rPr>
                <w:rFonts w:hint="eastAsia" w:ascii="仿宋" w:hAnsi="仿宋" w:eastAsia="仿宋" w:cs="仿宋"/>
                <w:color w:val="auto"/>
                <w:sz w:val="24"/>
                <w:szCs w:val="24"/>
                <w:u w:val="none"/>
              </w:rPr>
              <w:t>，检验日期：202</w:t>
            </w:r>
            <w:r>
              <w:rPr>
                <w:rFonts w:hint="eastAsia" w:ascii="仿宋" w:hAnsi="仿宋" w:eastAsia="仿宋" w:cs="仿宋"/>
                <w:color w:val="auto"/>
                <w:sz w:val="24"/>
                <w:szCs w:val="24"/>
                <w:u w:val="none"/>
                <w:lang w:val="en-US" w:eastAsia="zh-CN"/>
              </w:rPr>
              <w:t>1.8.28</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--查20</w:t>
            </w:r>
            <w:r>
              <w:rPr>
                <w:rFonts w:hint="eastAsia" w:ascii="仿宋" w:hAnsi="仿宋" w:eastAsia="仿宋" w:cs="仿宋"/>
                <w:color w:val="auto"/>
                <w:sz w:val="24"/>
                <w:szCs w:val="24"/>
                <w:u w:val="none"/>
                <w:lang w:val="en-US" w:eastAsia="zh-CN"/>
              </w:rPr>
              <w:t>21.9</w:t>
            </w:r>
            <w:r>
              <w:rPr>
                <w:rFonts w:hint="eastAsia" w:ascii="仿宋" w:hAnsi="仿宋" w:eastAsia="仿宋" w:cs="仿宋"/>
                <w:color w:val="auto"/>
                <w:sz w:val="24"/>
                <w:szCs w:val="24"/>
                <w:u w:val="none"/>
              </w:rPr>
              <w:t>.</w:t>
            </w:r>
            <w:r>
              <w:rPr>
                <w:rFonts w:hint="eastAsia" w:ascii="仿宋" w:hAnsi="仿宋" w:eastAsia="仿宋" w:cs="仿宋"/>
                <w:color w:val="auto"/>
                <w:sz w:val="24"/>
                <w:szCs w:val="24"/>
                <w:u w:val="none"/>
                <w:lang w:val="en-US" w:eastAsia="zh-CN"/>
              </w:rPr>
              <w:t>21</w:t>
            </w:r>
            <w:r>
              <w:rPr>
                <w:rFonts w:hint="eastAsia" w:ascii="仿宋" w:hAnsi="仿宋" w:eastAsia="仿宋" w:cs="仿宋"/>
                <w:color w:val="auto"/>
                <w:sz w:val="24"/>
                <w:szCs w:val="24"/>
                <w:u w:val="none"/>
              </w:rPr>
              <w:t>原材料检验记录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1、原材料名称：</w:t>
            </w:r>
            <w:r>
              <w:rPr>
                <w:rFonts w:hint="eastAsia" w:ascii="仿宋" w:hAnsi="仿宋" w:eastAsia="仿宋" w:cs="仿宋"/>
                <w:color w:val="auto"/>
                <w:sz w:val="24"/>
                <w:szCs w:val="24"/>
                <w:u w:val="none"/>
                <w:lang w:val="en-US" w:eastAsia="zh-CN"/>
              </w:rPr>
              <w:t>门板</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2、进厂检验项目：外观</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数量</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rPr>
            </w:pPr>
            <w:r>
              <w:rPr>
                <w:rFonts w:hint="eastAsia" w:ascii="仿宋" w:hAnsi="仿宋" w:eastAsia="仿宋" w:cs="仿宋"/>
                <w:color w:val="auto"/>
                <w:sz w:val="24"/>
                <w:szCs w:val="24"/>
                <w:u w:val="none"/>
              </w:rPr>
              <w:t>3、进货日期：202</w:t>
            </w:r>
            <w:r>
              <w:rPr>
                <w:rFonts w:hint="eastAsia" w:ascii="仿宋" w:hAnsi="仿宋" w:eastAsia="仿宋" w:cs="仿宋"/>
                <w:color w:val="auto"/>
                <w:sz w:val="24"/>
                <w:szCs w:val="24"/>
                <w:u w:val="none"/>
                <w:lang w:val="en-US" w:eastAsia="zh-CN"/>
              </w:rPr>
              <w:t>1.9.20</w:t>
            </w:r>
            <w:r>
              <w:rPr>
                <w:rFonts w:hint="eastAsia" w:ascii="仿宋" w:hAnsi="仿宋" w:eastAsia="仿宋" w:cs="仿宋"/>
                <w:color w:val="auto"/>
                <w:sz w:val="24"/>
                <w:szCs w:val="24"/>
                <w:u w:val="none"/>
              </w:rPr>
              <w:t xml:space="preserve">    数量：</w:t>
            </w:r>
            <w:r>
              <w:rPr>
                <w:rFonts w:hint="eastAsia" w:ascii="仿宋" w:hAnsi="仿宋" w:eastAsia="仿宋" w:cs="仿宋"/>
                <w:color w:val="auto"/>
                <w:sz w:val="24"/>
                <w:szCs w:val="24"/>
                <w:u w:val="none"/>
                <w:lang w:val="en-US" w:eastAsia="zh-CN"/>
              </w:rPr>
              <w:t xml:space="preserve">520件   </w:t>
            </w:r>
            <w:r>
              <w:rPr>
                <w:rFonts w:hint="eastAsia" w:ascii="仿宋" w:hAnsi="仿宋" w:eastAsia="仿宋" w:cs="仿宋"/>
                <w:color w:val="auto"/>
                <w:sz w:val="24"/>
                <w:szCs w:val="24"/>
                <w:u w:val="none"/>
              </w:rPr>
              <w:t>检验结论：合格</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rPr>
              <w:t>检验：</w:t>
            </w:r>
            <w:r>
              <w:rPr>
                <w:rFonts w:hint="eastAsia" w:ascii="仿宋" w:hAnsi="仿宋" w:eastAsia="仿宋" w:cs="仿宋"/>
                <w:color w:val="auto"/>
                <w:sz w:val="24"/>
                <w:szCs w:val="24"/>
                <w:u w:val="none"/>
                <w:lang w:val="en-US" w:eastAsia="zh-CN"/>
              </w:rPr>
              <w:t>李伟</w:t>
            </w:r>
            <w:r>
              <w:rPr>
                <w:rFonts w:hint="eastAsia" w:ascii="仿宋" w:hAnsi="仿宋" w:eastAsia="仿宋" w:cs="仿宋"/>
                <w:color w:val="auto"/>
                <w:sz w:val="24"/>
                <w:szCs w:val="24"/>
                <w:u w:val="none"/>
              </w:rPr>
              <w:t>，检验日期：202</w:t>
            </w:r>
            <w:r>
              <w:rPr>
                <w:rFonts w:hint="eastAsia" w:ascii="仿宋" w:hAnsi="仿宋" w:eastAsia="仿宋" w:cs="仿宋"/>
                <w:color w:val="auto"/>
                <w:sz w:val="24"/>
                <w:szCs w:val="24"/>
                <w:u w:val="none"/>
                <w:lang w:val="en-US" w:eastAsia="zh-CN"/>
              </w:rPr>
              <w:t>1.9.21</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eastAsia="zh-CN"/>
              </w:rPr>
            </w:pPr>
            <w:r>
              <w:rPr>
                <w:rFonts w:hint="eastAsia" w:ascii="仿宋" w:hAnsi="仿宋" w:eastAsia="仿宋" w:cs="仿宋"/>
                <w:color w:val="auto"/>
                <w:sz w:val="24"/>
                <w:szCs w:val="24"/>
                <w:u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u w:val="none"/>
              </w:rPr>
              <w:t>记录</w:t>
            </w:r>
            <w:r>
              <w:rPr>
                <w:rFonts w:hint="eastAsia" w:ascii="仿宋" w:hAnsi="仿宋" w:eastAsia="仿宋" w:cs="仿宋"/>
                <w:color w:val="auto"/>
                <w:sz w:val="24"/>
                <w:szCs w:val="24"/>
                <w:u w:val="none"/>
                <w:lang w:val="en-US" w:eastAsia="zh-CN"/>
              </w:rPr>
              <w:t>分册由专门负责人进行管理，每本册子单页记录均</w:t>
            </w:r>
            <w:r>
              <w:rPr>
                <w:rFonts w:hint="eastAsia" w:ascii="仿宋" w:hAnsi="仿宋" w:eastAsia="仿宋" w:cs="仿宋"/>
                <w:color w:val="auto"/>
                <w:sz w:val="24"/>
                <w:szCs w:val="24"/>
                <w:u w:val="none"/>
              </w:rPr>
              <w:t>有</w:t>
            </w:r>
            <w:r>
              <w:rPr>
                <w:rFonts w:hint="eastAsia" w:ascii="仿宋" w:hAnsi="仿宋" w:eastAsia="仿宋" w:cs="仿宋"/>
                <w:color w:val="auto"/>
                <w:sz w:val="24"/>
                <w:szCs w:val="24"/>
                <w:u w:val="none"/>
                <w:lang w:val="en-US" w:eastAsia="zh-CN"/>
              </w:rPr>
              <w:t>产品名称、规格、数量、批次、检验项目、进货日期、检验日期</w:t>
            </w:r>
            <w:r>
              <w:rPr>
                <w:rFonts w:hint="eastAsia" w:ascii="仿宋" w:hAnsi="仿宋" w:eastAsia="仿宋" w:cs="仿宋"/>
                <w:color w:val="auto"/>
                <w:sz w:val="24"/>
                <w:szCs w:val="24"/>
                <w:u w:val="none"/>
              </w:rPr>
              <w:t>等</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完成了电子归档工作。</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另抽其他进货检验记录，保存完好，符合要求。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-----生产过程检验</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生技部负责按照生产过程跟踪卡要求进行生产，每完成一道工序，生产人员自检合格后，由检验人员再次确认，确认合格后，工序流转。抽查生产流程跟踪卡记录，均按作业指导书要去进行质量控制，符合要求。</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b w:val="0"/>
                <w:bCs w:val="0"/>
                <w:color w:val="auto"/>
                <w:kern w:val="2"/>
                <w:sz w:val="24"/>
                <w:szCs w:val="24"/>
                <w:highlight w:val="none"/>
                <w:u w:val="none"/>
                <w:lang w:val="en-US" w:eastAsia="zh-CN" w:bidi="ar-SA"/>
              </w:rPr>
            </w:pPr>
            <w:r>
              <w:rPr>
                <w:rFonts w:hint="eastAsia" w:ascii="仿宋" w:hAnsi="仿宋" w:eastAsia="仿宋" w:cs="仿宋"/>
                <w:b w:val="0"/>
                <w:bCs w:val="0"/>
                <w:color w:val="auto"/>
                <w:kern w:val="2"/>
                <w:sz w:val="24"/>
                <w:szCs w:val="24"/>
                <w:highlight w:val="none"/>
                <w:u w:val="none"/>
                <w:lang w:val="en-US" w:eastAsia="zh-CN" w:bidi="ar-SA"/>
              </w:rPr>
              <w:t>----抽委托试验，提供了样品的委托试验报告</w:t>
            </w:r>
          </w:p>
          <w:p>
            <w:pPr>
              <w:pStyle w:val="2"/>
              <w:rPr>
                <w:rFonts w:hint="eastAsia"/>
                <w:color w:val="auto"/>
                <w:lang w:val="en-US" w:eastAsia="zh-CN"/>
              </w:rPr>
            </w:pPr>
            <w:r>
              <w:rPr>
                <w:rFonts w:hint="default"/>
                <w:color w:val="auto"/>
                <w:lang w:val="en-US" w:eastAsia="zh-CN"/>
              </w:rPr>
              <w:drawing>
                <wp:inline distT="0" distB="0" distL="114300" distR="114300">
                  <wp:extent cx="2761615" cy="3627755"/>
                  <wp:effectExtent l="0" t="0" r="12065" b="14605"/>
                  <wp:docPr id="3" name="图片 3" descr="1641704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1704620(1)"/>
                          <pic:cNvPicPr>
                            <a:picLocks noChangeAspect="1"/>
                          </pic:cNvPicPr>
                        </pic:nvPicPr>
                        <pic:blipFill>
                          <a:blip r:embed="rId9"/>
                          <a:stretch>
                            <a:fillRect/>
                          </a:stretch>
                        </pic:blipFill>
                        <pic:spPr>
                          <a:xfrm>
                            <a:off x="0" y="0"/>
                            <a:ext cx="2761615" cy="3627755"/>
                          </a:xfrm>
                          <a:prstGeom prst="rect">
                            <a:avLst/>
                          </a:prstGeom>
                        </pic:spPr>
                      </pic:pic>
                    </a:graphicData>
                  </a:graphic>
                </wp:inline>
              </w:drawing>
            </w:r>
            <w:r>
              <w:rPr>
                <w:rFonts w:hint="default"/>
                <w:color w:val="auto"/>
                <w:lang w:val="en-US" w:eastAsia="zh-CN"/>
              </w:rPr>
              <w:drawing>
                <wp:inline distT="0" distB="0" distL="114300" distR="114300">
                  <wp:extent cx="2560320" cy="3336290"/>
                  <wp:effectExtent l="0" t="0" r="0" b="1270"/>
                  <wp:docPr id="4" name="图片 4" descr="1641704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41704640(1)"/>
                          <pic:cNvPicPr>
                            <a:picLocks noChangeAspect="1"/>
                          </pic:cNvPicPr>
                        </pic:nvPicPr>
                        <pic:blipFill>
                          <a:blip r:embed="rId10"/>
                          <a:stretch>
                            <a:fillRect/>
                          </a:stretch>
                        </pic:blipFill>
                        <pic:spPr>
                          <a:xfrm>
                            <a:off x="0" y="0"/>
                            <a:ext cx="2560320" cy="3336290"/>
                          </a:xfrm>
                          <a:prstGeom prst="rect">
                            <a:avLst/>
                          </a:prstGeom>
                        </pic:spPr>
                      </pic:pic>
                    </a:graphicData>
                  </a:graphic>
                </wp:inline>
              </w:drawing>
            </w:r>
            <w:r>
              <w:rPr>
                <w:rFonts w:hint="default"/>
                <w:color w:val="auto"/>
                <w:lang w:val="en-US" w:eastAsia="zh-CN"/>
              </w:rPr>
              <w:drawing>
                <wp:inline distT="0" distB="0" distL="114300" distR="114300">
                  <wp:extent cx="2414270" cy="3063240"/>
                  <wp:effectExtent l="0" t="0" r="8890" b="0"/>
                  <wp:docPr id="5" name="图片 5" descr="1641704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1704662(1)"/>
                          <pic:cNvPicPr>
                            <a:picLocks noChangeAspect="1"/>
                          </pic:cNvPicPr>
                        </pic:nvPicPr>
                        <pic:blipFill>
                          <a:blip r:embed="rId11"/>
                          <a:stretch>
                            <a:fillRect/>
                          </a:stretch>
                        </pic:blipFill>
                        <pic:spPr>
                          <a:xfrm>
                            <a:off x="0" y="0"/>
                            <a:ext cx="2414270" cy="3063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eastAsia="宋体"/>
                <w:color w:val="auto"/>
                <w:highlight w:val="none"/>
                <w:u w:val="none"/>
                <w:lang w:eastAsia="zh-CN"/>
              </w:rPr>
            </w:pPr>
            <w:r>
              <w:rPr>
                <w:rFonts w:hint="eastAsia" w:ascii="仿宋" w:hAnsi="仿宋" w:eastAsia="仿宋" w:cs="仿宋"/>
                <w:b w:val="0"/>
                <w:bCs w:val="0"/>
                <w:color w:val="auto"/>
                <w:kern w:val="2"/>
                <w:sz w:val="24"/>
                <w:szCs w:val="24"/>
                <w:highlight w:val="none"/>
                <w:u w:val="none"/>
                <w:lang w:val="en-US" w:eastAsia="zh-CN" w:bidi="ar-SA"/>
              </w:rPr>
              <w:t>-----成品检验：抽出厂检验报告</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drawing>
                <wp:inline distT="0" distB="0" distL="114300" distR="114300">
                  <wp:extent cx="2464435" cy="3159760"/>
                  <wp:effectExtent l="0" t="0" r="4445" b="10160"/>
                  <wp:docPr id="6" name="图片 6" descr="1641704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1704766(1)"/>
                          <pic:cNvPicPr>
                            <a:picLocks noChangeAspect="1"/>
                          </pic:cNvPicPr>
                        </pic:nvPicPr>
                        <pic:blipFill>
                          <a:blip r:embed="rId12"/>
                          <a:stretch>
                            <a:fillRect/>
                          </a:stretch>
                        </pic:blipFill>
                        <pic:spPr>
                          <a:xfrm>
                            <a:off x="0" y="0"/>
                            <a:ext cx="2464435" cy="3159760"/>
                          </a:xfrm>
                          <a:prstGeom prst="rect">
                            <a:avLst/>
                          </a:prstGeom>
                        </pic:spPr>
                      </pic:pic>
                    </a:graphicData>
                  </a:graphic>
                </wp:inline>
              </w:drawing>
            </w:r>
            <w:r>
              <w:rPr>
                <w:rFonts w:hint="eastAsia" w:ascii="仿宋" w:hAnsi="仿宋" w:eastAsia="仿宋" w:cs="仿宋"/>
                <w:color w:val="auto"/>
                <w:sz w:val="24"/>
                <w:szCs w:val="24"/>
                <w:highlight w:val="none"/>
                <w:u w:val="none"/>
                <w:lang w:eastAsia="zh-CN"/>
              </w:rPr>
              <w:drawing>
                <wp:inline distT="0" distB="0" distL="114300" distR="114300">
                  <wp:extent cx="2684145" cy="3068320"/>
                  <wp:effectExtent l="0" t="0" r="13335" b="10160"/>
                  <wp:docPr id="7" name="图片 7" descr="1641704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1704782(1)"/>
                          <pic:cNvPicPr>
                            <a:picLocks noChangeAspect="1"/>
                          </pic:cNvPicPr>
                        </pic:nvPicPr>
                        <pic:blipFill>
                          <a:blip r:embed="rId13"/>
                          <a:stretch>
                            <a:fillRect/>
                          </a:stretch>
                        </pic:blipFill>
                        <pic:spPr>
                          <a:xfrm>
                            <a:off x="0" y="0"/>
                            <a:ext cx="2684145" cy="30683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lang w:eastAsia="zh-CN"/>
              </w:rPr>
            </w:pPr>
            <w:r>
              <w:rPr>
                <w:rFonts w:hint="eastAsia" w:ascii="仿宋" w:hAnsi="仿宋" w:eastAsia="仿宋" w:cs="仿宋"/>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highlight w:val="yellow"/>
                <w:u w:val="none"/>
                <w:lang w:val="en-US" w:eastAsia="zh-CN" w:bidi="ar-SA"/>
              </w:rPr>
            </w:pPr>
            <w:r>
              <w:rPr>
                <w:rFonts w:hint="eastAsia" w:ascii="仿宋" w:hAnsi="仿宋" w:eastAsia="仿宋" w:cs="仿宋"/>
                <w:color w:val="auto"/>
                <w:sz w:val="24"/>
                <w:szCs w:val="24"/>
                <w:highlight w:val="none"/>
                <w:u w:val="none"/>
              </w:rPr>
              <w:t>另抽其</w:t>
            </w:r>
            <w:r>
              <w:rPr>
                <w:rFonts w:hint="eastAsia" w:ascii="仿宋" w:hAnsi="仿宋" w:eastAsia="仿宋" w:cs="仿宋"/>
                <w:color w:val="auto"/>
                <w:sz w:val="24"/>
                <w:szCs w:val="24"/>
                <w:highlight w:val="none"/>
                <w:u w:val="none"/>
                <w:lang w:val="en-US" w:eastAsia="zh-CN"/>
              </w:rPr>
              <w:t>它出厂检验报告，报告内产品涵盖了本次认证范围内产品，且报告</w:t>
            </w:r>
            <w:r>
              <w:rPr>
                <w:rFonts w:hint="eastAsia" w:ascii="仿宋" w:hAnsi="仿宋" w:eastAsia="仿宋" w:cs="仿宋"/>
                <w:color w:val="auto"/>
                <w:sz w:val="24"/>
                <w:szCs w:val="24"/>
                <w:highlight w:val="none"/>
                <w:u w:val="none"/>
              </w:rPr>
              <w:t>均保存完好，符合要求。产品放行受控。</w:t>
            </w:r>
          </w:p>
        </w:tc>
        <w:tc>
          <w:tcPr>
            <w:tcW w:w="1585" w:type="dxa"/>
            <w:vAlign w:val="top"/>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21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不合格输出的控制</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不合格和纠正措施</w:t>
            </w:r>
          </w:p>
        </w:tc>
        <w:tc>
          <w:tcPr>
            <w:tcW w:w="960"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8.7</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rPr>
              <w:t>10.2</w:t>
            </w:r>
          </w:p>
        </w:tc>
        <w:tc>
          <w:tcPr>
            <w:tcW w:w="10004" w:type="dxa"/>
            <w:vAlign w:val="center"/>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查有《不合格控制程序》《改进控制程序》，对不合格输出进行识别和控制，防止不合格输出的非预期使用或交付。</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u w:val="none"/>
              </w:rPr>
              <w:t>询问部门负责人称目前没有不合格的非预期使用情况。未发生投诉所引起的不合格。</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抽不合格品/不符合评审处置单，王经理说由于体系运行时间短，目前生产过程中还未开具过不合格评审处置单。</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针对内审中发现的不合格，采取了纠正措施，并进行验证合格。询问部门负责人称服务过程中未发现严重不合格或同类不合格屡次发生情况，因此未采取纠正措施。</w:t>
            </w:r>
          </w:p>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highlight w:val="none"/>
                <w:u w:val="none"/>
              </w:rPr>
              <w:t>目前风险和机遇无需更新，质量管理体系无需变更。</w:t>
            </w:r>
          </w:p>
        </w:tc>
        <w:tc>
          <w:tcPr>
            <w:tcW w:w="1585" w:type="dxa"/>
            <w:vAlign w:val="top"/>
          </w:tcPr>
          <w:p>
            <w:pPr>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color w:val="auto"/>
                <w:kern w:val="2"/>
                <w:sz w:val="24"/>
                <w:szCs w:val="24"/>
                <w:u w:val="none"/>
                <w:lang w:val="en-US" w:eastAsia="zh-CN" w:bidi="ar-SA"/>
              </w:rPr>
            </w:pPr>
            <w:r>
              <w:rPr>
                <w:rFonts w:hint="eastAsia" w:ascii="仿宋" w:hAnsi="仿宋" w:eastAsia="仿宋" w:cs="仿宋"/>
                <w:color w:val="auto"/>
                <w:sz w:val="24"/>
                <w:szCs w:val="24"/>
                <w:u w:val="none"/>
                <w:lang w:val="en-US" w:eastAsia="zh-CN"/>
              </w:rPr>
              <w:t>Y</w:t>
            </w:r>
          </w:p>
        </w:tc>
      </w:tr>
    </w:tbl>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p>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r>
        <w:rPr>
          <w:rFonts w:hint="eastAsia" w:ascii="仿宋" w:hAnsi="仿宋" w:eastAsia="仿宋" w:cs="仿宋"/>
          <w:sz w:val="24"/>
          <w:szCs w:val="24"/>
          <w:u w:val="none"/>
        </w:rPr>
        <w:t>说明：不符合标注N</w:t>
      </w:r>
    </w:p>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eastAsia" w:ascii="仿宋" w:hAnsi="仿宋" w:eastAsia="仿宋" w:cs="仿宋"/>
          <w:sz w:val="24"/>
          <w:szCs w:val="24"/>
          <w:u w:val="none"/>
        </w:rPr>
      </w:pPr>
    </w:p>
    <w:p>
      <w:pPr>
        <w:pStyle w:val="6"/>
        <w:keepNext w:val="0"/>
        <w:keepLines w:val="0"/>
        <w:pageBreakBefore w:val="0"/>
        <w:widowControl w:val="0"/>
        <w:kinsoku/>
        <w:wordWrap/>
        <w:overflowPunct/>
        <w:topLinePunct w:val="0"/>
        <w:autoSpaceDE/>
        <w:autoSpaceDN/>
        <w:bidi w:val="0"/>
        <w:adjustRightInd/>
        <w:spacing w:after="0" w:line="360" w:lineRule="auto"/>
        <w:textAlignment w:val="auto"/>
        <w:rPr>
          <w:rFonts w:hint="default" w:ascii="仿宋" w:hAnsi="仿宋" w:eastAsia="仿宋" w:cs="仿宋"/>
          <w:sz w:val="24"/>
          <w:szCs w:val="24"/>
          <w:u w:val="none"/>
          <w:lang w:val="en-US" w:eastAsia="zh-CN"/>
        </w:rPr>
      </w:pP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1170" w:firstLineChars="650"/>
      <w:jc w:val="left"/>
      <w:rPr>
        <w:rStyle w:val="13"/>
        <w:rFonts w:hint="default"/>
      </w:rPr>
    </w:pPr>
    <w:r>
      <w:drawing>
        <wp:anchor distT="0" distB="0" distL="114300" distR="114300" simplePos="0" relativeHeight="251660288" behindDoc="0" locked="0" layoutInCell="1" allowOverlap="1">
          <wp:simplePos x="0" y="0"/>
          <wp:positionH relativeFrom="column">
            <wp:posOffset>128905</wp:posOffset>
          </wp:positionH>
          <wp:positionV relativeFrom="paragraph">
            <wp:posOffset>28575</wp:posOffset>
          </wp:positionV>
          <wp:extent cx="481330" cy="484505"/>
          <wp:effectExtent l="0" t="0" r="6350" b="3175"/>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6350" b="2540"/>
              <wp:wrapNone/>
              <wp:docPr id="2"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rFonts w:hint="eastAsia"/>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QfhE2AAAAAsBAAAPAAAAAAAAAAEAIAAAACIAAABkcnMvZG93bnJl&#10;di54bWxQSwECFAAUAAAACACHTuJAJxH1PcQBAAB6AwAADgAAAAAAAAABACAAAAAnAQAAZHJzL2Uy&#10;b0RvYy54bWxQSwUGAAAAAAYABgBZAQAAXQUAAAAA&#10;">
              <v:fill on="t" focussize="0,0"/>
              <v:stroke on="f"/>
              <v:imagedata o:title=""/>
              <o:lock v:ext="edit" aspectratio="f"/>
              <v:textbox>
                <w:txbxContent>
                  <w:p>
                    <w:pPr>
                      <w:rPr>
                        <w:rFonts w:hint="eastAsia"/>
                        <w:sz w:val="18"/>
                        <w:szCs w:val="18"/>
                      </w:rPr>
                    </w:pPr>
                    <w:r>
                      <w:rPr>
                        <w:rFonts w:hint="eastAsia"/>
                        <w:sz w:val="18"/>
                        <w:szCs w:val="18"/>
                      </w:rPr>
                      <w:t>ISC-B-II-12(05版）</w:t>
                    </w:r>
                  </w:p>
                </w:txbxContent>
              </v:textbox>
            </v:shape>
          </w:pict>
        </mc:Fallback>
      </mc:AlternateConten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1134" w:firstLineChars="6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5A3F67"/>
    <w:multiLevelType w:val="multilevel"/>
    <w:tmpl w:val="035A3F67"/>
    <w:lvl w:ilvl="0" w:tentative="0">
      <w:start w:val="7"/>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D0314EC"/>
    <w:multiLevelType w:val="singleLevel"/>
    <w:tmpl w:val="6D0314EC"/>
    <w:lvl w:ilvl="0" w:tentative="0">
      <w:start w:val="1"/>
      <w:numFmt w:val="bullet"/>
      <w:lvlText w:val=""/>
      <w:lvlJc w:val="left"/>
      <w:pPr>
        <w:ind w:left="420" w:hanging="420"/>
      </w:pPr>
      <w:rPr>
        <w:rFonts w:hint="default" w:ascii="Wingdings" w:hAnsi="Wingdings"/>
      </w:rPr>
    </w:lvl>
  </w:abstractNum>
  <w:abstractNum w:abstractNumId="2">
    <w:nsid w:val="76C95794"/>
    <w:multiLevelType w:val="multilevel"/>
    <w:tmpl w:val="76C957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323D6"/>
    <w:rsid w:val="00E61F7F"/>
    <w:rsid w:val="00FD3FD6"/>
    <w:rsid w:val="011E28D2"/>
    <w:rsid w:val="01464AA8"/>
    <w:rsid w:val="027175B6"/>
    <w:rsid w:val="031C589E"/>
    <w:rsid w:val="04B976D7"/>
    <w:rsid w:val="05140FD0"/>
    <w:rsid w:val="06741D60"/>
    <w:rsid w:val="06B55F62"/>
    <w:rsid w:val="08A74027"/>
    <w:rsid w:val="08C12F44"/>
    <w:rsid w:val="08E41FEA"/>
    <w:rsid w:val="092C5309"/>
    <w:rsid w:val="0967445C"/>
    <w:rsid w:val="0996529A"/>
    <w:rsid w:val="0A7B39B5"/>
    <w:rsid w:val="0B7F34A4"/>
    <w:rsid w:val="0C0A59B8"/>
    <w:rsid w:val="0C1365AA"/>
    <w:rsid w:val="0C914263"/>
    <w:rsid w:val="0D8825BE"/>
    <w:rsid w:val="0E151648"/>
    <w:rsid w:val="0EBC2473"/>
    <w:rsid w:val="0ED671DD"/>
    <w:rsid w:val="0EDA78CC"/>
    <w:rsid w:val="0F1F0E8B"/>
    <w:rsid w:val="0F2E2DB3"/>
    <w:rsid w:val="10660320"/>
    <w:rsid w:val="11571432"/>
    <w:rsid w:val="11A637C4"/>
    <w:rsid w:val="12077F50"/>
    <w:rsid w:val="12AE3F6F"/>
    <w:rsid w:val="1311508A"/>
    <w:rsid w:val="135F66DE"/>
    <w:rsid w:val="147D3C55"/>
    <w:rsid w:val="148B1460"/>
    <w:rsid w:val="152242A1"/>
    <w:rsid w:val="15545397"/>
    <w:rsid w:val="15D76A93"/>
    <w:rsid w:val="15F16ABD"/>
    <w:rsid w:val="164E46D8"/>
    <w:rsid w:val="16C120CF"/>
    <w:rsid w:val="16FF7C2A"/>
    <w:rsid w:val="17932FC2"/>
    <w:rsid w:val="17AA5AAF"/>
    <w:rsid w:val="17EC6701"/>
    <w:rsid w:val="194E45C7"/>
    <w:rsid w:val="197F7AA5"/>
    <w:rsid w:val="19AF6707"/>
    <w:rsid w:val="1AD539DC"/>
    <w:rsid w:val="1B0350D6"/>
    <w:rsid w:val="1BF368E9"/>
    <w:rsid w:val="1BF55B77"/>
    <w:rsid w:val="1C17459F"/>
    <w:rsid w:val="1CAB385B"/>
    <w:rsid w:val="1D031D15"/>
    <w:rsid w:val="1ECF26E3"/>
    <w:rsid w:val="1EFC0132"/>
    <w:rsid w:val="1FAB06DC"/>
    <w:rsid w:val="21EB2A80"/>
    <w:rsid w:val="22702C85"/>
    <w:rsid w:val="239211E8"/>
    <w:rsid w:val="240A7676"/>
    <w:rsid w:val="243D0AAB"/>
    <w:rsid w:val="24780A2C"/>
    <w:rsid w:val="25BC0533"/>
    <w:rsid w:val="265F4F56"/>
    <w:rsid w:val="2672095F"/>
    <w:rsid w:val="26CF6D6A"/>
    <w:rsid w:val="26E10C02"/>
    <w:rsid w:val="278D2493"/>
    <w:rsid w:val="28892939"/>
    <w:rsid w:val="29012E36"/>
    <w:rsid w:val="29374B23"/>
    <w:rsid w:val="29A0324F"/>
    <w:rsid w:val="29FA6371"/>
    <w:rsid w:val="2A236A89"/>
    <w:rsid w:val="2A316F49"/>
    <w:rsid w:val="2ADE7F61"/>
    <w:rsid w:val="2B353465"/>
    <w:rsid w:val="2CB613A0"/>
    <w:rsid w:val="2D0E2103"/>
    <w:rsid w:val="2DA81693"/>
    <w:rsid w:val="2E980D14"/>
    <w:rsid w:val="2EBF2C82"/>
    <w:rsid w:val="2F35312B"/>
    <w:rsid w:val="2FFC725E"/>
    <w:rsid w:val="307B55BB"/>
    <w:rsid w:val="31036E68"/>
    <w:rsid w:val="31127DD7"/>
    <w:rsid w:val="31882F58"/>
    <w:rsid w:val="31896ADF"/>
    <w:rsid w:val="32256C43"/>
    <w:rsid w:val="323E0B06"/>
    <w:rsid w:val="32563097"/>
    <w:rsid w:val="3371281D"/>
    <w:rsid w:val="339F2AEB"/>
    <w:rsid w:val="340339CC"/>
    <w:rsid w:val="34BD502A"/>
    <w:rsid w:val="34C2504B"/>
    <w:rsid w:val="35196D25"/>
    <w:rsid w:val="35E1064F"/>
    <w:rsid w:val="35ED69EB"/>
    <w:rsid w:val="35FA5400"/>
    <w:rsid w:val="370F396D"/>
    <w:rsid w:val="37505DDB"/>
    <w:rsid w:val="383C6CE1"/>
    <w:rsid w:val="383D33E5"/>
    <w:rsid w:val="392F744B"/>
    <w:rsid w:val="3AFF6BAC"/>
    <w:rsid w:val="3C2A1CE5"/>
    <w:rsid w:val="3E13072E"/>
    <w:rsid w:val="3F4260B0"/>
    <w:rsid w:val="3F6B3357"/>
    <w:rsid w:val="3F9726C7"/>
    <w:rsid w:val="3FAC68B0"/>
    <w:rsid w:val="417A5BF0"/>
    <w:rsid w:val="41E26910"/>
    <w:rsid w:val="430352D3"/>
    <w:rsid w:val="44935CDD"/>
    <w:rsid w:val="451840D2"/>
    <w:rsid w:val="45ED1650"/>
    <w:rsid w:val="46674800"/>
    <w:rsid w:val="46A50ED0"/>
    <w:rsid w:val="47897D03"/>
    <w:rsid w:val="48621291"/>
    <w:rsid w:val="48737C97"/>
    <w:rsid w:val="488806F0"/>
    <w:rsid w:val="48EE4B3E"/>
    <w:rsid w:val="490B716B"/>
    <w:rsid w:val="4A366D3F"/>
    <w:rsid w:val="4A5E2BE4"/>
    <w:rsid w:val="4ABF32B1"/>
    <w:rsid w:val="4C047CE4"/>
    <w:rsid w:val="4CA040B6"/>
    <w:rsid w:val="4D5E4F3C"/>
    <w:rsid w:val="4D5F561A"/>
    <w:rsid w:val="4F70133E"/>
    <w:rsid w:val="50700791"/>
    <w:rsid w:val="507D105C"/>
    <w:rsid w:val="50A02890"/>
    <w:rsid w:val="50F47650"/>
    <w:rsid w:val="51716E50"/>
    <w:rsid w:val="52321197"/>
    <w:rsid w:val="52B7331B"/>
    <w:rsid w:val="53404A7D"/>
    <w:rsid w:val="54B3498F"/>
    <w:rsid w:val="55012DB6"/>
    <w:rsid w:val="55402B2E"/>
    <w:rsid w:val="557D5281"/>
    <w:rsid w:val="55A33EDA"/>
    <w:rsid w:val="56012C0A"/>
    <w:rsid w:val="575F7F47"/>
    <w:rsid w:val="584C1EB3"/>
    <w:rsid w:val="58A97592"/>
    <w:rsid w:val="5A076CE2"/>
    <w:rsid w:val="5A1E6100"/>
    <w:rsid w:val="5B291FA0"/>
    <w:rsid w:val="5B2A4D70"/>
    <w:rsid w:val="5B7D7CAB"/>
    <w:rsid w:val="5CB82648"/>
    <w:rsid w:val="5D2E7EE2"/>
    <w:rsid w:val="5DC413E8"/>
    <w:rsid w:val="5DF33BD4"/>
    <w:rsid w:val="5DFC71DF"/>
    <w:rsid w:val="5E251214"/>
    <w:rsid w:val="5E4116F1"/>
    <w:rsid w:val="616E0F85"/>
    <w:rsid w:val="61992E13"/>
    <w:rsid w:val="64614F9C"/>
    <w:rsid w:val="65105C42"/>
    <w:rsid w:val="678B1084"/>
    <w:rsid w:val="6888748D"/>
    <w:rsid w:val="69182FC8"/>
    <w:rsid w:val="69E81979"/>
    <w:rsid w:val="6ABB206B"/>
    <w:rsid w:val="6B2F5F71"/>
    <w:rsid w:val="6D74724D"/>
    <w:rsid w:val="6D9E77F5"/>
    <w:rsid w:val="6DAD6922"/>
    <w:rsid w:val="6E587A54"/>
    <w:rsid w:val="6EA048F3"/>
    <w:rsid w:val="6EBD11E4"/>
    <w:rsid w:val="6ED04BCB"/>
    <w:rsid w:val="6EDC7CB2"/>
    <w:rsid w:val="70567381"/>
    <w:rsid w:val="733812F6"/>
    <w:rsid w:val="73895261"/>
    <w:rsid w:val="74333568"/>
    <w:rsid w:val="74E10A91"/>
    <w:rsid w:val="75555125"/>
    <w:rsid w:val="75BA16C1"/>
    <w:rsid w:val="774B3F6B"/>
    <w:rsid w:val="77D63ADA"/>
    <w:rsid w:val="79B6520F"/>
    <w:rsid w:val="7AA91232"/>
    <w:rsid w:val="7BC156CB"/>
    <w:rsid w:val="7C011EA4"/>
    <w:rsid w:val="7C3E0958"/>
    <w:rsid w:val="7C891B0A"/>
    <w:rsid w:val="7CB47CC8"/>
    <w:rsid w:val="7D0D0697"/>
    <w:rsid w:val="7D3F731D"/>
    <w:rsid w:val="7DA22646"/>
    <w:rsid w:val="7E03324F"/>
    <w:rsid w:val="7E674A88"/>
    <w:rsid w:val="7F156E64"/>
    <w:rsid w:val="7FAF4B79"/>
    <w:rsid w:val="7FDC6E0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6"/>
    <w:qFormat/>
    <w:uiPriority w:val="0"/>
    <w:pPr>
      <w:spacing w:after="120"/>
    </w:pPr>
    <w:rPr>
      <w:szCs w:val="24"/>
    </w:rPr>
  </w:style>
  <w:style w:type="paragraph" w:styleId="4">
    <w:name w:val="Body Text Indent"/>
    <w:basedOn w:val="1"/>
    <w:qFormat/>
    <w:uiPriority w:val="0"/>
    <w:pPr>
      <w:spacing w:line="440" w:lineRule="exact"/>
      <w:ind w:firstLine="420" w:firstLineChars="200"/>
    </w:p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99"/>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unhideWhenUsed/>
    <w:qFormat/>
    <w:uiPriority w:val="99"/>
    <w:pPr>
      <w:ind w:firstLine="420" w:firstLineChars="200"/>
    </w:pPr>
  </w:style>
  <w:style w:type="character" w:customStyle="1" w:styleId="15">
    <w:name w:val="font01"/>
    <w:basedOn w:val="9"/>
    <w:qFormat/>
    <w:uiPriority w:val="0"/>
    <w:rPr>
      <w:rFonts w:ascii="仿宋" w:hAnsi="仿宋" w:eastAsia="仿宋" w:cs="仿宋"/>
      <w:color w:val="000000"/>
      <w:sz w:val="24"/>
      <w:szCs w:val="24"/>
      <w:u w:val="none"/>
    </w:rPr>
  </w:style>
  <w:style w:type="character" w:customStyle="1" w:styleId="16">
    <w:name w:val="正文文本 Char"/>
    <w:link w:val="2"/>
    <w:qFormat/>
    <w:uiPriority w:val="0"/>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大漠孤烟</cp:lastModifiedBy>
  <dcterms:modified xsi:type="dcterms:W3CDTF">2022-01-09T05:15:17Z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