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雪花啤酒（凉山）有限公司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西昌市宁远桥街宁星路2幢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西昌市宁远桥街宁星路2幢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邓雨琼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13618172510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1874952083@qq.com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bookmarkStart w:id="6" w:name="最高管理者"/>
            <w:bookmarkEnd w:id="6"/>
            <w:r>
              <w:rPr>
                <w:rFonts w:hint="eastAsia"/>
                <w:lang w:val="en-US" w:eastAsia="zh-CN"/>
              </w:rPr>
              <w:t>王佳平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1320-2021-EO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</w:rPr>
              <w:t xml:space="preserve">现场审核   </w:t>
            </w: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</w:rPr>
              <w:t>远程审核   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  <w:lang w:eastAsia="zh-CN"/>
              </w:rPr>
              <w:t>□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音频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网络 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智能手机  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  <w:lang w:eastAsia="zh-CN"/>
              </w:rPr>
              <w:t>□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台式电脑 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8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■</w:t>
            </w:r>
            <w:bookmarkEnd w:id="18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9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1" w:name="审核范围"/>
            <w:r>
              <w:rPr>
                <w:sz w:val="20"/>
              </w:rPr>
              <w:t>E：雪花啤酒的生产所涉及场所的相关环境管理活动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O：雪花啤酒的生产所涉及场所的相关职业健康安全管理活动</w:t>
            </w:r>
            <w:bookmarkEnd w:id="21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2" w:name="专业代码"/>
            <w:r>
              <w:rPr>
                <w:sz w:val="20"/>
              </w:rPr>
              <w:t>E：03.10.05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O：03.10.05</w:t>
            </w:r>
            <w:bookmarkEnd w:id="2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3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4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5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6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  <w:bookmarkStart w:id="27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8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9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□适用于受审核方的法律法规及其他要求； □认证合同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□受审核方管理体系文件 (手册版本号：)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</w:t>
            </w: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  <w:r>
              <w:rPr>
                <w:rFonts w:hint="eastAsia"/>
                <w:b/>
                <w:sz w:val="20"/>
              </w:rPr>
              <w:t>远程审核于</w:t>
            </w:r>
            <w:bookmarkStart w:id="30" w:name="审核日期"/>
            <w:r>
              <w:rPr>
                <w:rFonts w:hint="eastAsia"/>
                <w:b/>
                <w:sz w:val="20"/>
              </w:rPr>
              <w:t>2022年01月12日 上午至2022年01月15日 上午</w:t>
            </w:r>
            <w:bookmarkEnd w:id="30"/>
            <w:r>
              <w:rPr>
                <w:rFonts w:hint="eastAsia"/>
                <w:b/>
                <w:sz w:val="20"/>
              </w:rPr>
              <w:t>(共</w:t>
            </w:r>
            <w:bookmarkStart w:id="31" w:name="审核天数"/>
            <w:r>
              <w:rPr>
                <w:rFonts w:hint="eastAsia"/>
                <w:b/>
                <w:sz w:val="20"/>
              </w:rPr>
              <w:t>3.5</w:t>
            </w:r>
            <w:bookmarkEnd w:id="31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杨珍全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2021-N1EMS-2230067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2021-N1OHSMS-2230067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E:03.10.05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O:03.10.05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13883847833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冉景洲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2020-N1EMS-1267598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2021-N1OHSMS-1267598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18983000183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pStyle w:val="3"/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280035</wp:posOffset>
                  </wp:positionH>
                  <wp:positionV relativeFrom="paragraph">
                    <wp:posOffset>51435</wp:posOffset>
                  </wp:positionV>
                  <wp:extent cx="815340" cy="403860"/>
                  <wp:effectExtent l="0" t="0" r="7620" b="7620"/>
                  <wp:wrapNone/>
                  <wp:docPr id="1" name="图片 53" descr="fd760dbe16eb6185a5a45f7628618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53" descr="fd760dbe16eb6185a5a45f76286182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5340" cy="403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李永忠</w:t>
            </w:r>
          </w:p>
        </w:tc>
        <w:tc>
          <w:tcPr>
            <w:tcW w:w="2061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13883847833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2022.1.11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2022.1.11</w:t>
            </w:r>
          </w:p>
        </w:tc>
        <w:tc>
          <w:tcPr>
            <w:tcW w:w="206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</w:tbl>
    <w:p>
      <w:pPr>
        <w:tabs>
          <w:tab w:val="left" w:pos="1158"/>
        </w:tabs>
        <w:bidi w:val="0"/>
        <w:jc w:val="left"/>
        <w:rPr>
          <w:rFonts w:hint="eastAsia" w:eastAsia="宋体"/>
          <w:lang w:eastAsia="zh-CN"/>
        </w:rPr>
      </w:pPr>
    </w:p>
    <w:p>
      <w:pPr>
        <w:pStyle w:val="2"/>
        <w:jc w:val="center"/>
        <w:rPr>
          <w:rFonts w:hint="eastAsia"/>
          <w:lang w:eastAsia="zh-CN"/>
        </w:rPr>
      </w:pPr>
      <w:r>
        <w:rPr>
          <w:rFonts w:hint="eastAsia" w:ascii="宋体" w:hAnsi="宋体"/>
          <w:b/>
          <w:sz w:val="30"/>
          <w:szCs w:val="30"/>
        </w:rPr>
        <w:t>现场</w:t>
      </w:r>
      <w:r>
        <w:rPr>
          <w:rFonts w:hint="eastAsia" w:ascii="宋体" w:hAnsi="宋体"/>
          <w:b/>
          <w:sz w:val="30"/>
          <w:szCs w:val="30"/>
          <w:lang w:val="en-US" w:eastAsia="zh-CN"/>
        </w:rPr>
        <w:t>/远程</w:t>
      </w:r>
      <w:r>
        <w:rPr>
          <w:rFonts w:hint="eastAsia" w:ascii="宋体" w:hAnsi="宋体"/>
          <w:b/>
          <w:sz w:val="30"/>
          <w:szCs w:val="30"/>
        </w:rPr>
        <w:t>审核日程安排表</w:t>
      </w:r>
    </w:p>
    <w:tbl>
      <w:tblPr>
        <w:tblStyle w:val="6"/>
        <w:tblpPr w:leftFromText="180" w:rightFromText="180" w:vertAnchor="text" w:horzAnchor="page" w:tblpX="980" w:tblpY="624"/>
        <w:tblOverlap w:val="never"/>
        <w:tblW w:w="101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455"/>
        <w:gridCol w:w="1176"/>
        <w:gridCol w:w="5543"/>
        <w:gridCol w:w="9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455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176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543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975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40" w:lineRule="auto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</w:t>
            </w:r>
          </w:p>
          <w:p>
            <w:pPr>
              <w:snapToGrid w:val="0"/>
              <w:spacing w:line="240" w:lineRule="auto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月</w:t>
            </w:r>
          </w:p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</w:t>
            </w:r>
          </w:p>
          <w:p>
            <w:pPr>
              <w:snapToGrid w:val="0"/>
              <w:spacing w:line="240" w:lineRule="auto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</w:t>
            </w:r>
          </w:p>
          <w:p>
            <w:pPr>
              <w:snapToGrid w:val="0"/>
              <w:spacing w:line="24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55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:30-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:00</w:t>
            </w:r>
          </w:p>
        </w:tc>
        <w:tc>
          <w:tcPr>
            <w:tcW w:w="6719" w:type="dxa"/>
            <w:gridSpan w:val="2"/>
            <w:vAlign w:val="center"/>
          </w:tcPr>
          <w:p>
            <w:pPr>
              <w:spacing w:line="240" w:lineRule="auto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首次会议</w:t>
            </w:r>
          </w:p>
        </w:tc>
        <w:tc>
          <w:tcPr>
            <w:tcW w:w="975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40" w:lineRule="auto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杨珍全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、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冉景洲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1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24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55" w:type="dxa"/>
          </w:tcPr>
          <w:p>
            <w:pPr>
              <w:snapToGrid w:val="0"/>
              <w:spacing w:line="240" w:lineRule="auto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:00-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午休12：00-13：00）</w:t>
            </w:r>
          </w:p>
        </w:tc>
        <w:tc>
          <w:tcPr>
            <w:tcW w:w="1176" w:type="dxa"/>
          </w:tcPr>
          <w:p>
            <w:pPr>
              <w:spacing w:line="240" w:lineRule="auto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管理层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含管代、员工代表）</w:t>
            </w:r>
          </w:p>
        </w:tc>
        <w:tc>
          <w:tcPr>
            <w:tcW w:w="5543" w:type="dxa"/>
          </w:tcPr>
          <w:p>
            <w:pPr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EMS-2015：</w:t>
            </w:r>
          </w:p>
          <w:p>
            <w:pPr>
              <w:spacing w:line="24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4.1组织及其环境;4.2相关方需求与期望;4.3确定体系范围;4.4体系;5.1领导作用与承诺;5.2方针;5.3组织的角色、职责和权限；6.1.1策划总则；6.1.4措施的策划；6.2目标及其实现的策划；7.1资源；7.4沟通；7.5.1文件化信息总则；</w:t>
            </w:r>
          </w:p>
          <w:p>
            <w:pPr>
              <w:spacing w:line="240" w:lineRule="auto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ISO45001:2018：</w:t>
            </w:r>
          </w:p>
          <w:p>
            <w:pPr>
              <w:spacing w:line="24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4.1组织及其环境;4.2相关方需求与期望;4.3确定体系范围;4.4体系;5.1领导作用与承诺;5.2方针;5.3组织的角色、职责和权限；5.4员工参与和协商；6.1应对风险和机遇的措施6.1.4措施的策划；6.2目标及其实现的策划；7.1资源；7.4信息和沟通；7.5.1文件化信息总则；</w:t>
            </w:r>
          </w:p>
          <w:p>
            <w:pPr>
              <w:pStyle w:val="2"/>
            </w:pPr>
          </w:p>
        </w:tc>
        <w:tc>
          <w:tcPr>
            <w:tcW w:w="975" w:type="dxa"/>
            <w:tcBorders>
              <w:right w:val="single" w:color="auto" w:sz="8" w:space="0"/>
            </w:tcBorders>
          </w:tcPr>
          <w:p>
            <w:pPr>
              <w:snapToGrid w:val="0"/>
              <w:spacing w:line="240" w:lineRule="auto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冉景洲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60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24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55" w:type="dxa"/>
          </w:tcPr>
          <w:p>
            <w:pPr>
              <w:snapToGrid w:val="0"/>
              <w:spacing w:line="24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:00-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午休12：00-13：00）</w:t>
            </w:r>
          </w:p>
        </w:tc>
        <w:tc>
          <w:tcPr>
            <w:tcW w:w="1176" w:type="dxa"/>
          </w:tcPr>
          <w:p>
            <w:pPr>
              <w:spacing w:line="24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行政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管理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部</w:t>
            </w:r>
          </w:p>
        </w:tc>
        <w:tc>
          <w:tcPr>
            <w:tcW w:w="5543" w:type="dxa"/>
          </w:tcPr>
          <w:p>
            <w:pPr>
              <w:spacing w:line="240" w:lineRule="auto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EMS-2015</w:t>
            </w:r>
            <w:r>
              <w:rPr>
                <w:rFonts w:hint="eastAsia"/>
                <w:sz w:val="21"/>
                <w:szCs w:val="21"/>
                <w:lang w:eastAsia="zh-CN"/>
              </w:rPr>
              <w:t>：</w:t>
            </w:r>
          </w:p>
          <w:p>
            <w:pPr>
              <w:spacing w:line="240" w:lineRule="auto"/>
              <w:rPr>
                <w:rFonts w:hint="eastAsia" w:ascii="宋体" w:hAnsi="宋体" w:cs="新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rFonts w:hint="eastAsia" w:ascii="宋体" w:hAnsi="宋体" w:cs="新宋体"/>
                <w:sz w:val="21"/>
                <w:szCs w:val="21"/>
              </w:rPr>
              <w:t>.3组织的角色、职责和权限；6.1.2环境因素；6.1.3合规义务；6.2目标及其达成的策划；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7.2人员；7.3意识；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7.5文件化信息；8.1运行策划和控制；8.2应急准备和响应；</w:t>
            </w:r>
          </w:p>
          <w:p>
            <w:pPr>
              <w:spacing w:line="240" w:lineRule="auto"/>
              <w:rPr>
                <w:rFonts w:hint="eastAsia" w:ascii="宋体" w:hAnsi="宋体" w:cs="新宋体"/>
                <w:sz w:val="21"/>
                <w:szCs w:val="21"/>
              </w:rPr>
            </w:pPr>
          </w:p>
          <w:p>
            <w:pPr>
              <w:spacing w:line="240" w:lineRule="auto"/>
              <w:rPr>
                <w:rFonts w:hint="eastAsia" w:ascii="宋体" w:hAnsi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ISO45001:2018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：</w:t>
            </w:r>
          </w:p>
          <w:p>
            <w:pPr>
              <w:spacing w:line="240" w:lineRule="auto"/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5.3组织的角色、职责和权限；6.1.2危险源辨识和职业安全风险评价；6.1.3法律法规要求和其他要求；6.2目标及其实现的策划；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7.2人员；7.3意识；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7.5文件化信息；8.1运行策划和控制；8.2应急准备和响应；</w:t>
            </w:r>
          </w:p>
          <w:p>
            <w:pPr>
              <w:pStyle w:val="2"/>
              <w:rPr>
                <w:rFonts w:hint="eastAsia"/>
                <w:lang w:eastAsia="zh-CN"/>
              </w:rPr>
            </w:pPr>
          </w:p>
        </w:tc>
        <w:tc>
          <w:tcPr>
            <w:tcW w:w="975" w:type="dxa"/>
            <w:tcBorders>
              <w:right w:val="single" w:color="auto" w:sz="8" w:space="0"/>
            </w:tcBorders>
          </w:tcPr>
          <w:p>
            <w:pPr>
              <w:snapToGrid w:val="0"/>
              <w:spacing w:line="240" w:lineRule="auto"/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4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</w:t>
            </w:r>
          </w:p>
          <w:p>
            <w:pPr>
              <w:snapToGrid w:val="0"/>
              <w:spacing w:line="240" w:lineRule="auto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月</w:t>
            </w:r>
          </w:p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13</w:t>
            </w:r>
          </w:p>
          <w:p>
            <w:pPr>
              <w:snapToGrid w:val="0"/>
              <w:spacing w:line="240" w:lineRule="auto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</w:t>
            </w:r>
          </w:p>
          <w:p>
            <w:pPr>
              <w:snapToGrid w:val="0"/>
              <w:spacing w:line="240" w:lineRule="auto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55" w:type="dxa"/>
          </w:tcPr>
          <w:p>
            <w:pPr>
              <w:snapToGrid w:val="0"/>
              <w:spacing w:line="240" w:lineRule="auto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8:30-17:30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午休12：00-13：00）</w:t>
            </w:r>
          </w:p>
        </w:tc>
        <w:tc>
          <w:tcPr>
            <w:tcW w:w="1176" w:type="dxa"/>
          </w:tcPr>
          <w:p>
            <w:pPr>
              <w:spacing w:line="240" w:lineRule="auto"/>
              <w:rPr>
                <w:rFonts w:hint="eastAsia" w:ascii="宋体" w:hAnsi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管理层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含管代、员工代表）</w:t>
            </w:r>
          </w:p>
        </w:tc>
        <w:tc>
          <w:tcPr>
            <w:tcW w:w="5543" w:type="dxa"/>
          </w:tcPr>
          <w:p>
            <w:pPr>
              <w:spacing w:line="240" w:lineRule="auto"/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EMS-2015：</w:t>
            </w:r>
          </w:p>
          <w:p>
            <w:pPr>
              <w:spacing w:line="240" w:lineRule="auto"/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9.1.1监测、分析和评估总则；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9.3管理评审；10.1改进 总则；10.3持续改进。</w:t>
            </w:r>
          </w:p>
          <w:p>
            <w:pPr>
              <w:spacing w:line="240" w:lineRule="auto"/>
              <w:rPr>
                <w:rFonts w:hint="eastAsia" w:ascii="宋体" w:hAnsi="宋体" w:cs="新宋体"/>
                <w:sz w:val="21"/>
                <w:szCs w:val="21"/>
              </w:rPr>
            </w:pPr>
          </w:p>
          <w:p>
            <w:pPr>
              <w:spacing w:line="240" w:lineRule="auto"/>
              <w:rPr>
                <w:rFonts w:hint="eastAsia" w:ascii="宋体" w:hAnsi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ISO45001:2018：</w:t>
            </w:r>
          </w:p>
          <w:p>
            <w:pPr>
              <w:spacing w:line="240" w:lineRule="auto"/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9.1监视、测量、分析和评价；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9.3管理评审；10.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新宋体"/>
                <w:sz w:val="21"/>
                <w:szCs w:val="21"/>
              </w:rPr>
              <w:t>改进 总则；10.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新宋体"/>
                <w:sz w:val="21"/>
                <w:szCs w:val="21"/>
              </w:rPr>
              <w:t>持续改进。</w:t>
            </w:r>
          </w:p>
          <w:p>
            <w:pPr>
              <w:spacing w:line="240" w:lineRule="auto"/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范围的确认，资质的确认，管理体系变化情况、法律法规执行情况，重大环境事故及职业健康安全投诉情况，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一阶段问题</w:t>
            </w:r>
            <w:r>
              <w:rPr>
                <w:rFonts w:hint="eastAsia" w:ascii="宋体" w:hAnsi="宋体" w:cs="新宋体"/>
                <w:sz w:val="21"/>
                <w:szCs w:val="21"/>
              </w:rPr>
              <w:t>验证。</w:t>
            </w:r>
          </w:p>
          <w:p>
            <w:pPr>
              <w:pStyle w:val="2"/>
              <w:rPr>
                <w:rFonts w:hint="eastAsia"/>
              </w:rPr>
            </w:pPr>
          </w:p>
        </w:tc>
        <w:tc>
          <w:tcPr>
            <w:tcW w:w="975" w:type="dxa"/>
            <w:tcBorders>
              <w:right w:val="single" w:color="auto" w:sz="8" w:space="0"/>
            </w:tcBorders>
          </w:tcPr>
          <w:p>
            <w:pPr>
              <w:snapToGrid w:val="0"/>
              <w:spacing w:line="240" w:lineRule="auto"/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冉景洲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55" w:type="dxa"/>
          </w:tcPr>
          <w:p>
            <w:pPr>
              <w:snapToGrid w:val="0"/>
              <w:spacing w:line="240" w:lineRule="auto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8:30-12:00</w:t>
            </w:r>
          </w:p>
          <w:p>
            <w:pPr>
              <w:snapToGrid w:val="0"/>
              <w:spacing w:line="240" w:lineRule="auto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176" w:type="dxa"/>
          </w:tcPr>
          <w:p>
            <w:pPr>
              <w:spacing w:line="240" w:lineRule="auto"/>
              <w:rPr>
                <w:rFonts w:hint="eastAsia" w:ascii="宋体" w:hAnsi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行政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管理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部</w:t>
            </w:r>
          </w:p>
        </w:tc>
        <w:tc>
          <w:tcPr>
            <w:tcW w:w="5543" w:type="dxa"/>
          </w:tcPr>
          <w:p>
            <w:pPr>
              <w:spacing w:line="240" w:lineRule="auto"/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EMS-2015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：</w:t>
            </w:r>
          </w:p>
          <w:p>
            <w:pPr>
              <w:spacing w:line="240" w:lineRule="auto"/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9.1监视、测量、分析与评估；9.1.2符合性评估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9.2内部审核；10.2不符合和纠正措施；</w:t>
            </w:r>
          </w:p>
          <w:p>
            <w:pPr>
              <w:pStyle w:val="2"/>
              <w:rPr>
                <w:sz w:val="21"/>
                <w:szCs w:val="21"/>
              </w:rPr>
            </w:pPr>
          </w:p>
          <w:p>
            <w:pPr>
              <w:spacing w:line="240" w:lineRule="auto"/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ISO45001:2018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：</w:t>
            </w:r>
          </w:p>
          <w:p>
            <w:pPr>
              <w:spacing w:line="240" w:lineRule="auto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9.1监视、测量、分析和评价；9.1.2法律法规要求和其他要求的合规性评价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9.2内部审核；10.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新宋体"/>
                <w:sz w:val="21"/>
                <w:szCs w:val="21"/>
              </w:rPr>
              <w:t>事件、不符合和纠正措施；</w:t>
            </w:r>
          </w:p>
        </w:tc>
        <w:tc>
          <w:tcPr>
            <w:tcW w:w="975" w:type="dxa"/>
            <w:tcBorders>
              <w:right w:val="single" w:color="auto" w:sz="8" w:space="0"/>
            </w:tcBorders>
          </w:tcPr>
          <w:p>
            <w:pPr>
              <w:snapToGrid w:val="0"/>
              <w:spacing w:line="240" w:lineRule="auto"/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5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55" w:type="dxa"/>
          </w:tcPr>
          <w:p>
            <w:pPr>
              <w:snapToGrid w:val="0"/>
              <w:spacing w:line="24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:30</w:t>
            </w:r>
          </w:p>
          <w:p>
            <w:pPr>
              <w:snapToGrid w:val="0"/>
              <w:spacing w:line="240" w:lineRule="auto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176" w:type="dxa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新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酿造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部</w:t>
            </w:r>
          </w:p>
        </w:tc>
        <w:tc>
          <w:tcPr>
            <w:tcW w:w="5543" w:type="dxa"/>
            <w:vAlign w:val="top"/>
          </w:tcPr>
          <w:p>
            <w:pPr>
              <w:spacing w:line="240" w:lineRule="auto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EMS-2015：</w:t>
            </w:r>
          </w:p>
          <w:p>
            <w:pPr>
              <w:spacing w:line="24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5.3组织的角色、职责和权限；6.1.2环境因素；6.2目标及其达成的策划；</w:t>
            </w:r>
          </w:p>
          <w:p>
            <w:pPr>
              <w:pStyle w:val="2"/>
              <w:rPr>
                <w:rFonts w:hint="eastAsia"/>
              </w:rPr>
            </w:pPr>
          </w:p>
          <w:p>
            <w:pPr>
              <w:spacing w:line="240" w:lineRule="auto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ISO45001:2018：</w:t>
            </w:r>
          </w:p>
          <w:p>
            <w:pPr>
              <w:spacing w:line="240" w:lineRule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5.3组织的角色、职责和权限；6.1.2危险源辨识和职业安全风险评价；6.2目标及其实现的策划；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</w:tc>
        <w:tc>
          <w:tcPr>
            <w:tcW w:w="975" w:type="dxa"/>
            <w:tcBorders>
              <w:right w:val="single" w:color="auto" w:sz="8" w:space="0"/>
            </w:tcBorders>
          </w:tcPr>
          <w:p>
            <w:pPr>
              <w:snapToGrid w:val="0"/>
              <w:spacing w:line="240" w:lineRule="auto"/>
              <w:rPr>
                <w:rFonts w:hint="default" w:ascii="宋体" w:hAnsi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2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</w:t>
            </w:r>
          </w:p>
          <w:p>
            <w:pPr>
              <w:snapToGrid w:val="0"/>
              <w:spacing w:line="240" w:lineRule="auto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月</w:t>
            </w:r>
          </w:p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14</w:t>
            </w:r>
          </w:p>
          <w:p>
            <w:pPr>
              <w:snapToGrid w:val="0"/>
              <w:spacing w:line="240" w:lineRule="auto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</w:t>
            </w:r>
          </w:p>
          <w:p>
            <w:pPr>
              <w:snapToGrid w:val="0"/>
              <w:spacing w:line="240" w:lineRule="auto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55" w:type="dxa"/>
          </w:tcPr>
          <w:p>
            <w:pPr>
              <w:snapToGrid w:val="0"/>
              <w:spacing w:line="240" w:lineRule="auto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8:30-17:30</w:t>
            </w:r>
          </w:p>
          <w:p>
            <w:pPr>
              <w:snapToGrid w:val="0"/>
              <w:spacing w:line="24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午休12：00-13：00）</w:t>
            </w:r>
          </w:p>
        </w:tc>
        <w:tc>
          <w:tcPr>
            <w:tcW w:w="1176" w:type="dxa"/>
          </w:tcPr>
          <w:p>
            <w:pPr>
              <w:spacing w:line="240" w:lineRule="auto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营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运</w:t>
            </w:r>
            <w:r>
              <w:rPr>
                <w:rFonts w:hint="eastAsia" w:ascii="宋体" w:hAnsi="宋体" w:cs="新宋体"/>
                <w:sz w:val="21"/>
                <w:szCs w:val="21"/>
              </w:rPr>
              <w:t>部</w:t>
            </w:r>
          </w:p>
        </w:tc>
        <w:tc>
          <w:tcPr>
            <w:tcW w:w="5543" w:type="dxa"/>
          </w:tcPr>
          <w:p>
            <w:pPr>
              <w:spacing w:line="240" w:lineRule="auto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EMS-2015：</w:t>
            </w:r>
          </w:p>
          <w:p>
            <w:pPr>
              <w:spacing w:line="240" w:lineRule="auto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5.3组织的角色、职责和权限、6.1.2环境因素；6.2目标及其达成的策划；7.4沟通；8.1运行策划和控制；8.2应急准备和响应</w:t>
            </w:r>
          </w:p>
          <w:p>
            <w:pPr>
              <w:spacing w:line="240" w:lineRule="auto"/>
              <w:rPr>
                <w:rFonts w:ascii="宋体" w:hAnsi="宋体" w:cs="新宋体"/>
                <w:sz w:val="21"/>
                <w:szCs w:val="21"/>
              </w:rPr>
            </w:pPr>
          </w:p>
          <w:p>
            <w:pPr>
              <w:spacing w:line="240" w:lineRule="auto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ISO45001:2018：</w:t>
            </w:r>
          </w:p>
          <w:p>
            <w:pPr>
              <w:spacing w:line="240" w:lineRule="auto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5.3组织的角色、职责和权限；6.2目标及其实现的策划；6.1.2危险源辨识和职业安全风险评价；7.4沟通；8.1运行策划和控制；8.2应急准备和响应；</w:t>
            </w:r>
          </w:p>
        </w:tc>
        <w:tc>
          <w:tcPr>
            <w:tcW w:w="975" w:type="dxa"/>
            <w:tcBorders>
              <w:right w:val="single" w:color="auto" w:sz="8" w:space="0"/>
            </w:tcBorders>
          </w:tcPr>
          <w:p>
            <w:pPr>
              <w:snapToGrid w:val="0"/>
              <w:spacing w:line="240" w:lineRule="auto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冉景洲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0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55" w:type="dxa"/>
            <w:vAlign w:val="top"/>
          </w:tcPr>
          <w:p>
            <w:pPr>
              <w:snapToGrid w:val="0"/>
              <w:spacing w:line="240" w:lineRule="auto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:30-1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:30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（（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午休12：00-13：00）</w:t>
            </w:r>
          </w:p>
          <w:p>
            <w:pPr>
              <w:snapToGrid w:val="0"/>
              <w:spacing w:line="240" w:lineRule="auto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22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酿造部夜班审核）</w:t>
            </w:r>
          </w:p>
        </w:tc>
        <w:tc>
          <w:tcPr>
            <w:tcW w:w="1176" w:type="dxa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新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酿造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部</w:t>
            </w:r>
          </w:p>
        </w:tc>
        <w:tc>
          <w:tcPr>
            <w:tcW w:w="5543" w:type="dxa"/>
            <w:vAlign w:val="top"/>
          </w:tcPr>
          <w:p>
            <w:pPr>
              <w:spacing w:line="240" w:lineRule="auto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EMS-2015：</w:t>
            </w:r>
          </w:p>
          <w:p>
            <w:pPr>
              <w:spacing w:line="240" w:lineRule="auto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bookmarkStart w:id="32" w:name="_GoBack"/>
            <w:r>
              <w:rPr>
                <w:rFonts w:hint="eastAsia"/>
                <w:sz w:val="21"/>
                <w:szCs w:val="21"/>
              </w:rPr>
              <w:t>7.4沟通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8.1运行策划和控制；8.2应急准备和响应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；</w:t>
            </w:r>
          </w:p>
          <w:bookmarkEnd w:id="32"/>
          <w:p>
            <w:pPr>
              <w:spacing w:line="240" w:lineRule="auto"/>
              <w:rPr>
                <w:rFonts w:hint="eastAsia"/>
                <w:sz w:val="21"/>
                <w:szCs w:val="21"/>
              </w:rPr>
            </w:pPr>
          </w:p>
          <w:p>
            <w:pPr>
              <w:spacing w:line="240" w:lineRule="auto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ISO45001:2018：</w:t>
            </w:r>
          </w:p>
          <w:p>
            <w:pPr>
              <w:spacing w:line="240" w:lineRule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7.4沟通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8.1运行策划和控制；8.2应急准备和响应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；</w:t>
            </w:r>
          </w:p>
          <w:p>
            <w:pPr>
              <w:spacing w:line="240" w:lineRule="auto"/>
              <w:rPr>
                <w:rFonts w:hint="eastAsia" w:ascii="宋体" w:hAnsi="宋体" w:eastAsia="宋体" w:cs="新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75" w:type="dxa"/>
            <w:tcBorders>
              <w:right w:val="single" w:color="auto" w:sz="8" w:space="0"/>
            </w:tcBorders>
          </w:tcPr>
          <w:p>
            <w:pPr>
              <w:snapToGrid w:val="0"/>
              <w:spacing w:line="240" w:lineRule="auto"/>
              <w:rPr>
                <w:rFonts w:hint="default" w:ascii="宋体" w:hAnsi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4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</w:t>
            </w:r>
          </w:p>
          <w:p>
            <w:pPr>
              <w:snapToGrid w:val="0"/>
              <w:spacing w:line="240" w:lineRule="auto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月</w:t>
            </w:r>
          </w:p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15</w:t>
            </w:r>
          </w:p>
          <w:p>
            <w:pPr>
              <w:snapToGrid w:val="0"/>
              <w:spacing w:line="240" w:lineRule="auto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</w:t>
            </w:r>
          </w:p>
          <w:p>
            <w:pPr>
              <w:snapToGrid w:val="0"/>
              <w:spacing w:line="240" w:lineRule="auto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55" w:type="dxa"/>
            <w:vAlign w:val="top"/>
          </w:tcPr>
          <w:p>
            <w:pPr>
              <w:snapToGrid w:val="0"/>
              <w:spacing w:line="240" w:lineRule="auto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1176" w:type="dxa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财务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部</w:t>
            </w:r>
          </w:p>
        </w:tc>
        <w:tc>
          <w:tcPr>
            <w:tcW w:w="5543" w:type="dxa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新宋体"/>
                <w:bCs/>
                <w:spacing w:val="1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新宋体"/>
                <w:bCs/>
                <w:spacing w:val="10"/>
                <w:kern w:val="2"/>
                <w:sz w:val="21"/>
                <w:szCs w:val="21"/>
                <w:lang w:val="en-US" w:eastAsia="zh-CN" w:bidi="ar-SA"/>
              </w:rPr>
              <w:t>EMS-2015：</w:t>
            </w:r>
          </w:p>
          <w:p>
            <w:pPr>
              <w:spacing w:line="240" w:lineRule="auto"/>
              <w:rPr>
                <w:rFonts w:hint="eastAsia" w:ascii="宋体" w:hAnsi="宋体" w:eastAsia="宋体" w:cs="新宋体"/>
                <w:bCs/>
                <w:spacing w:val="1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新宋体"/>
                <w:bCs/>
                <w:spacing w:val="10"/>
                <w:kern w:val="2"/>
                <w:sz w:val="21"/>
                <w:szCs w:val="21"/>
                <w:lang w:val="en-US" w:eastAsia="zh-CN" w:bidi="ar-SA"/>
              </w:rPr>
              <w:t>5.3组织的角色、职责和权限；6.2目标及其达成的策划；8.1运行策划和控制；EMS运行控制相关财务支出证据。</w:t>
            </w:r>
          </w:p>
          <w:p>
            <w:pPr>
              <w:pStyle w:val="2"/>
              <w:rPr>
                <w:rFonts w:hint="eastAsia" w:ascii="宋体" w:hAnsi="宋体" w:eastAsia="宋体" w:cs="新宋体"/>
                <w:bCs/>
                <w:spacing w:val="1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新宋体"/>
                <w:bCs/>
                <w:spacing w:val="10"/>
                <w:kern w:val="2"/>
                <w:sz w:val="21"/>
                <w:szCs w:val="21"/>
                <w:lang w:val="en-US" w:eastAsia="zh-CN" w:bidi="ar-SA"/>
              </w:rPr>
              <w:t>ISO45001:2018：</w:t>
            </w:r>
          </w:p>
          <w:p>
            <w:pPr>
              <w:spacing w:line="240" w:lineRule="auto"/>
              <w:rPr>
                <w:rFonts w:hint="eastAsia" w:ascii="宋体" w:hAnsi="宋体" w:eastAsia="宋体" w:cs="新宋体"/>
                <w:bCs/>
                <w:spacing w:val="1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新宋体"/>
                <w:bCs/>
                <w:spacing w:val="10"/>
                <w:kern w:val="2"/>
                <w:sz w:val="21"/>
                <w:szCs w:val="21"/>
                <w:lang w:val="en-US" w:eastAsia="zh-CN" w:bidi="ar-SA"/>
              </w:rPr>
              <w:t>5.3组织的角色、职责和权限；6.2目标及其达成的策划；8.1运行策划和控制；</w:t>
            </w:r>
            <w:r>
              <w:rPr>
                <w:rFonts w:hint="eastAsia" w:ascii="宋体" w:hAnsi="宋体" w:cs="新宋体"/>
                <w:bCs/>
                <w:spacing w:val="10"/>
                <w:kern w:val="2"/>
                <w:sz w:val="21"/>
                <w:szCs w:val="21"/>
                <w:lang w:val="en-US" w:eastAsia="zh-CN" w:bidi="ar-SA"/>
              </w:rPr>
              <w:t>OHSMS</w:t>
            </w:r>
            <w:r>
              <w:rPr>
                <w:rFonts w:hint="eastAsia" w:ascii="宋体" w:hAnsi="宋体" w:eastAsia="宋体" w:cs="新宋体"/>
                <w:bCs/>
                <w:spacing w:val="10"/>
                <w:kern w:val="2"/>
                <w:sz w:val="21"/>
                <w:szCs w:val="21"/>
                <w:lang w:val="en-US" w:eastAsia="zh-CN" w:bidi="ar-SA"/>
              </w:rPr>
              <w:t>运行控制相关财务支出证据。</w:t>
            </w:r>
          </w:p>
          <w:p>
            <w:pPr>
              <w:pStyle w:val="2"/>
              <w:rPr>
                <w:rFonts w:hint="eastAsia" w:ascii="宋体" w:hAnsi="宋体" w:eastAsia="宋体" w:cs="新宋体"/>
                <w:bCs/>
                <w:spacing w:val="1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75" w:type="dxa"/>
            <w:tcBorders>
              <w:right w:val="single" w:color="auto" w:sz="8" w:space="0"/>
            </w:tcBorders>
          </w:tcPr>
          <w:p>
            <w:pPr>
              <w:snapToGrid w:val="0"/>
              <w:spacing w:line="240" w:lineRule="auto"/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冉景洲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55" w:type="dxa"/>
            <w:vAlign w:val="top"/>
          </w:tcPr>
          <w:p>
            <w:pPr>
              <w:snapToGrid w:val="0"/>
              <w:spacing w:line="240" w:lineRule="auto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1176" w:type="dxa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新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酿造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部</w:t>
            </w:r>
          </w:p>
        </w:tc>
        <w:tc>
          <w:tcPr>
            <w:tcW w:w="5543" w:type="dxa"/>
            <w:vAlign w:val="top"/>
          </w:tcPr>
          <w:p>
            <w:pPr>
              <w:spacing w:line="240" w:lineRule="auto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EMS-2015：</w:t>
            </w:r>
          </w:p>
          <w:p>
            <w:pPr>
              <w:spacing w:line="240" w:lineRule="auto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8.1运行策划和控制；8.2应急准备和响应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；</w:t>
            </w:r>
          </w:p>
          <w:p>
            <w:pPr>
              <w:spacing w:line="240" w:lineRule="auto"/>
              <w:rPr>
                <w:rFonts w:hint="eastAsia"/>
                <w:sz w:val="21"/>
                <w:szCs w:val="21"/>
              </w:rPr>
            </w:pPr>
          </w:p>
          <w:p>
            <w:pPr>
              <w:spacing w:line="240" w:lineRule="auto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ISO45001:2018：</w:t>
            </w:r>
          </w:p>
          <w:p>
            <w:pPr>
              <w:spacing w:line="240" w:lineRule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8.1运行策划和控制；8.2应急准备和响应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；</w:t>
            </w:r>
          </w:p>
          <w:p>
            <w:pPr>
              <w:spacing w:line="240" w:lineRule="auto"/>
              <w:rPr>
                <w:rFonts w:hint="eastAsia" w:ascii="宋体" w:hAnsi="宋体" w:eastAsia="宋体" w:cs="新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75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240" w:lineRule="auto"/>
              <w:rPr>
                <w:rFonts w:hint="eastAsia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9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24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55" w:type="dxa"/>
          </w:tcPr>
          <w:p>
            <w:pPr>
              <w:snapToGrid w:val="0"/>
              <w:spacing w:line="240" w:lineRule="auto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24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:30-1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:00</w:t>
            </w:r>
          </w:p>
        </w:tc>
        <w:tc>
          <w:tcPr>
            <w:tcW w:w="6719" w:type="dxa"/>
            <w:gridSpan w:val="2"/>
            <w:vAlign w:val="center"/>
          </w:tcPr>
          <w:p>
            <w:pPr>
              <w:snapToGrid w:val="0"/>
              <w:spacing w:line="240" w:lineRule="auto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审核组内部沟通,并与受审核方沟通，末次会议</w:t>
            </w:r>
          </w:p>
        </w:tc>
        <w:tc>
          <w:tcPr>
            <w:tcW w:w="975" w:type="dxa"/>
            <w:tcBorders>
              <w:right w:val="single" w:color="auto" w:sz="8" w:space="0"/>
            </w:tcBorders>
          </w:tcPr>
          <w:p>
            <w:pPr>
              <w:snapToGrid w:val="0"/>
              <w:spacing w:line="240" w:lineRule="auto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杨珍全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、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冉景洲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2306473"/>
    <w:rsid w:val="057868F9"/>
    <w:rsid w:val="144315BB"/>
    <w:rsid w:val="1E7F6F30"/>
    <w:rsid w:val="1EC93137"/>
    <w:rsid w:val="24D14B7A"/>
    <w:rsid w:val="2ECF6937"/>
    <w:rsid w:val="5ADD34EB"/>
    <w:rsid w:val="64A40D15"/>
    <w:rsid w:val="64A82DB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797</Words>
  <Characters>4549</Characters>
  <Lines>37</Lines>
  <Paragraphs>10</Paragraphs>
  <TotalTime>39</TotalTime>
  <ScaleCrop>false</ScaleCrop>
  <LinksUpToDate>false</LinksUpToDate>
  <CharactersWithSpaces>5336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way一直都在</cp:lastModifiedBy>
  <dcterms:modified xsi:type="dcterms:W3CDTF">2022-01-12T08:26:39Z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2052-11.1.0.11115</vt:lpwstr>
  </property>
</Properties>
</file>