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1321-2021-QEO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成都伍佑物业有限责任公司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2021年12月22日 上午至2021年12月22日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3"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88"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hAnsi="宋体"/>
                <w:b/>
                <w:color w:val="000000"/>
                <w:szCs w:val="21"/>
                <w:lang w:val="de-DE"/>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636"/>
        <w:gridCol w:w="1374"/>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636" w:type="dxa"/>
            <w:vAlign w:val="center"/>
          </w:tcPr>
          <w:p>
            <w:pPr>
              <w:spacing w:line="240" w:lineRule="exact"/>
              <w:jc w:val="center"/>
              <w:rPr>
                <w:b/>
                <w:color w:val="000000"/>
                <w:szCs w:val="21"/>
              </w:rPr>
            </w:pPr>
            <w:r>
              <w:rPr>
                <w:rFonts w:hint="eastAsia"/>
                <w:szCs w:val="21"/>
              </w:rPr>
              <w:t>审核员注册证书号</w:t>
            </w:r>
          </w:p>
        </w:tc>
        <w:tc>
          <w:tcPr>
            <w:tcW w:w="1374"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636" w:type="dxa"/>
            <w:vAlign w:val="center"/>
          </w:tcPr>
          <w:p>
            <w:pPr>
              <w:spacing w:line="240" w:lineRule="exact"/>
              <w:jc w:val="center"/>
              <w:rPr>
                <w:b/>
                <w:color w:val="000000"/>
                <w:szCs w:val="21"/>
              </w:rPr>
            </w:pPr>
            <w:r>
              <w:rPr>
                <w:b/>
                <w:color w:val="000000"/>
                <w:szCs w:val="21"/>
              </w:rPr>
              <w:t>2021-N1QMS-2230067</w:t>
            </w:r>
          </w:p>
          <w:p>
            <w:pPr>
              <w:spacing w:line="240" w:lineRule="exact"/>
              <w:jc w:val="center"/>
              <w:rPr>
                <w:b/>
                <w:color w:val="000000"/>
                <w:szCs w:val="21"/>
              </w:rPr>
            </w:pPr>
            <w:r>
              <w:rPr>
                <w:b/>
                <w:color w:val="000000"/>
                <w:szCs w:val="21"/>
              </w:rPr>
              <w:t>2021-N1EMS-2230067</w:t>
            </w:r>
          </w:p>
          <w:p>
            <w:pPr>
              <w:spacing w:line="240" w:lineRule="exact"/>
              <w:jc w:val="center"/>
              <w:rPr>
                <w:b/>
                <w:color w:val="000000"/>
                <w:szCs w:val="21"/>
              </w:rPr>
            </w:pPr>
            <w:r>
              <w:rPr>
                <w:b/>
                <w:color w:val="000000"/>
                <w:szCs w:val="21"/>
              </w:rPr>
              <w:t>2021-N1OHSMS-2230067</w:t>
            </w:r>
          </w:p>
        </w:tc>
        <w:tc>
          <w:tcPr>
            <w:tcW w:w="1374" w:type="dxa"/>
            <w:vAlign w:val="center"/>
          </w:tcPr>
          <w:p>
            <w:pPr>
              <w:spacing w:line="240" w:lineRule="exact"/>
              <w:jc w:val="center"/>
              <w:rPr>
                <w:b/>
                <w:color w:val="000000"/>
                <w:szCs w:val="21"/>
              </w:rPr>
            </w:pPr>
            <w:r>
              <w:rPr>
                <w:b/>
                <w:color w:val="000000"/>
                <w:szCs w:val="21"/>
              </w:rPr>
              <w:t>Q:35.15.00</w:t>
            </w:r>
          </w:p>
          <w:p>
            <w:pPr>
              <w:spacing w:line="240" w:lineRule="exact"/>
              <w:jc w:val="center"/>
              <w:rPr>
                <w:b/>
                <w:color w:val="000000"/>
                <w:szCs w:val="21"/>
              </w:rPr>
            </w:pPr>
            <w:r>
              <w:rPr>
                <w:b/>
                <w:color w:val="000000"/>
                <w:szCs w:val="21"/>
              </w:rPr>
              <w:t>E:35.15.00</w:t>
            </w:r>
          </w:p>
          <w:p>
            <w:pPr>
              <w:spacing w:line="240" w:lineRule="exact"/>
              <w:jc w:val="center"/>
              <w:rPr>
                <w:b/>
                <w:color w:val="000000"/>
                <w:szCs w:val="21"/>
              </w:rPr>
            </w:pPr>
            <w:r>
              <w:rPr>
                <w:b/>
                <w:color w:val="000000"/>
                <w:szCs w:val="21"/>
              </w:rPr>
              <w:t>O:35.15.00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636" w:type="dxa"/>
            <w:vAlign w:val="center"/>
          </w:tcPr>
          <w:p>
            <w:pPr>
              <w:spacing w:line="240" w:lineRule="exact"/>
              <w:jc w:val="center"/>
              <w:rPr>
                <w:b/>
                <w:color w:val="000000"/>
                <w:szCs w:val="21"/>
              </w:rPr>
            </w:pPr>
            <w:r>
              <w:rPr>
                <w:b/>
                <w:color w:val="000000"/>
                <w:szCs w:val="21"/>
              </w:rPr>
              <w:t>2020-N1QMS-1267598</w:t>
            </w:r>
          </w:p>
          <w:p>
            <w:pPr>
              <w:spacing w:line="240" w:lineRule="exact"/>
              <w:jc w:val="center"/>
              <w:rPr>
                <w:b/>
                <w:color w:val="000000"/>
                <w:szCs w:val="21"/>
              </w:rPr>
            </w:pPr>
            <w:r>
              <w:rPr>
                <w:b/>
                <w:color w:val="000000"/>
                <w:szCs w:val="21"/>
              </w:rPr>
              <w:t>2020-N1EMS-1267598</w:t>
            </w:r>
          </w:p>
          <w:p>
            <w:pPr>
              <w:spacing w:line="240" w:lineRule="exact"/>
              <w:jc w:val="center"/>
              <w:rPr>
                <w:b/>
                <w:color w:val="000000"/>
                <w:szCs w:val="21"/>
              </w:rPr>
            </w:pPr>
            <w:r>
              <w:rPr>
                <w:b/>
                <w:color w:val="000000"/>
                <w:szCs w:val="21"/>
              </w:rPr>
              <w:t>2021-N1OHSMS-1267598</w:t>
            </w:r>
          </w:p>
        </w:tc>
        <w:tc>
          <w:tcPr>
            <w:tcW w:w="1374" w:type="dxa"/>
            <w:vAlign w:val="center"/>
          </w:tcPr>
          <w:p>
            <w:pPr>
              <w:spacing w:line="240" w:lineRule="exact"/>
              <w:jc w:val="center"/>
              <w:rPr>
                <w:b/>
                <w:color w:val="000000"/>
                <w:szCs w:val="21"/>
              </w:rPr>
            </w:pPr>
            <w:r>
              <w:rPr>
                <w:b/>
                <w:color w:val="000000"/>
                <w:szCs w:val="21"/>
              </w:rPr>
              <w:t>E:35.15.00</w:t>
            </w:r>
          </w:p>
          <w:p>
            <w:pPr>
              <w:spacing w:line="240" w:lineRule="exact"/>
              <w:jc w:val="center"/>
              <w:rPr>
                <w:b/>
                <w:color w:val="000000"/>
                <w:szCs w:val="21"/>
              </w:rPr>
            </w:pPr>
            <w:r>
              <w:rPr>
                <w:b/>
                <w:color w:val="000000"/>
                <w:szCs w:val="21"/>
              </w:rPr>
              <w:t>O:35.15.00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636" w:type="dxa"/>
            <w:vAlign w:val="center"/>
          </w:tcPr>
          <w:p>
            <w:pPr>
              <w:spacing w:line="240" w:lineRule="exact"/>
              <w:jc w:val="center"/>
              <w:rPr>
                <w:b/>
                <w:color w:val="000000"/>
                <w:szCs w:val="21"/>
              </w:rPr>
            </w:pPr>
            <w:r>
              <w:rPr>
                <w:b/>
                <w:color w:val="000000"/>
                <w:szCs w:val="21"/>
              </w:rPr>
              <w:t>2020-N1QMS-1265256</w:t>
            </w:r>
          </w:p>
          <w:p>
            <w:pPr>
              <w:spacing w:line="240" w:lineRule="exact"/>
              <w:jc w:val="center"/>
              <w:rPr>
                <w:b/>
                <w:color w:val="000000"/>
                <w:szCs w:val="21"/>
              </w:rPr>
            </w:pPr>
            <w:r>
              <w:rPr>
                <w:b/>
                <w:color w:val="000000"/>
                <w:szCs w:val="21"/>
              </w:rPr>
              <w:t>2021-N1EMS-1265256</w:t>
            </w:r>
          </w:p>
        </w:tc>
        <w:tc>
          <w:tcPr>
            <w:tcW w:w="1374"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636" w:type="dxa"/>
            <w:vAlign w:val="center"/>
          </w:tcPr>
          <w:p>
            <w:pPr>
              <w:rPr>
                <w:b/>
                <w:color w:val="000000"/>
                <w:szCs w:val="21"/>
              </w:rPr>
            </w:pPr>
          </w:p>
        </w:tc>
        <w:tc>
          <w:tcPr>
            <w:tcW w:w="1374"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636" w:type="dxa"/>
            <w:vAlign w:val="center"/>
          </w:tcPr>
          <w:p>
            <w:pPr>
              <w:rPr>
                <w:b/>
                <w:color w:val="000000"/>
                <w:szCs w:val="21"/>
              </w:rPr>
            </w:pPr>
            <w:r>
              <w:rPr>
                <w:rFonts w:hint="eastAsia"/>
                <w:b/>
                <w:color w:val="000000"/>
                <w:szCs w:val="21"/>
              </w:rPr>
              <w:t>工作单位</w:t>
            </w:r>
          </w:p>
        </w:tc>
        <w:tc>
          <w:tcPr>
            <w:tcW w:w="2462"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636" w:type="dxa"/>
            <w:vAlign w:val="center"/>
          </w:tcPr>
          <w:p>
            <w:pPr>
              <w:rPr>
                <w:b/>
                <w:color w:val="000000"/>
                <w:szCs w:val="21"/>
              </w:rPr>
            </w:pPr>
          </w:p>
        </w:tc>
        <w:tc>
          <w:tcPr>
            <w:tcW w:w="2462"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636" w:type="dxa"/>
            <w:vAlign w:val="center"/>
          </w:tcPr>
          <w:p>
            <w:pPr>
              <w:rPr>
                <w:b/>
                <w:color w:val="000000"/>
                <w:szCs w:val="21"/>
                <w:highlight w:val="green"/>
              </w:rPr>
            </w:pPr>
          </w:p>
        </w:tc>
        <w:tc>
          <w:tcPr>
            <w:tcW w:w="2462"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成都伍佑物业有限责任公司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成都崇州经济开发区创新路一段30号11单元2-2号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611230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成都崇州经济开发区创新路一段30号11单元2-2号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611230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彭冬雨</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15388212585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施勇强</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付建</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t>物业管理服务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rPr>
                <w:rFonts w:ascii="宋体"/>
                <w:color w:val="000000"/>
                <w:szCs w:val="21"/>
              </w:rPr>
            </w:pPr>
            <w:r>
              <w:rPr>
                <w:rFonts w:hint="eastAsia" w:ascii="宋体" w:hAnsi="宋体"/>
                <w:color w:val="auto"/>
                <w:sz w:val="21"/>
                <w:szCs w:val="21"/>
              </w:rPr>
              <w:t>收集招标信息--评标（合同评审）--签订合同--物业交接--提供物业管理服务--物业管理服务管理检查评价--持续改进。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物业管理服务</w:t>
            </w:r>
          </w:p>
        </w:tc>
        <w:tc>
          <w:tcPr>
            <w:tcW w:w="2006" w:type="dxa"/>
            <w:gridSpan w:val="3"/>
            <w:vAlign w:val="center"/>
          </w:tcPr>
          <w:p>
            <w:pPr>
              <w:spacing w:line="400" w:lineRule="exact"/>
              <w:rPr>
                <w:rFonts w:ascii="宋体" w:hAnsi="宋体"/>
                <w:b/>
                <w:color w:val="000000"/>
                <w:szCs w:val="21"/>
              </w:rPr>
            </w:pPr>
            <w: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物业管理服务所涉及场所的相关环境管理活动</w:t>
            </w:r>
          </w:p>
        </w:tc>
        <w:tc>
          <w:tcPr>
            <w:tcW w:w="2006" w:type="dxa"/>
            <w:gridSpan w:val="3"/>
            <w:vAlign w:val="center"/>
          </w:tcPr>
          <w:p>
            <w:pPr>
              <w:spacing w:line="400" w:lineRule="exact"/>
              <w:rPr>
                <w:rFonts w:ascii="宋体" w:hAnsi="宋体"/>
                <w:b/>
                <w:color w:val="000000"/>
                <w:szCs w:val="21"/>
              </w:rPr>
            </w:pPr>
            <w: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物业管理服务所涉及场所的相关职业健康安全管理活动</w:t>
            </w:r>
          </w:p>
        </w:tc>
        <w:tc>
          <w:tcPr>
            <w:tcW w:w="2006" w:type="dxa"/>
            <w:gridSpan w:val="3"/>
            <w:vAlign w:val="center"/>
          </w:tcPr>
          <w:p>
            <w:pPr>
              <w:spacing w:line="400" w:lineRule="exact"/>
              <w:rPr>
                <w:rFonts w:ascii="宋体" w:hAnsi="宋体"/>
                <w:b/>
                <w:color w:val="000000"/>
                <w:szCs w:val="21"/>
              </w:rPr>
            </w:pPr>
            <w: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黑体" w:hAnsi="黑体" w:eastAsia="黑体" w:cs="黑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861"/>
        <w:gridCol w:w="161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1861"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61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成都伍佑物业有限责任公司</w:t>
            </w:r>
            <w:r>
              <w:rPr>
                <w:rFonts w:hint="eastAsia"/>
                <w:sz w:val="21"/>
                <w:szCs w:val="21"/>
                <w:lang w:val="en-US" w:eastAsia="zh-CN"/>
              </w:rPr>
              <w:t>/</w:t>
            </w:r>
            <w:r>
              <w:rPr>
                <w:sz w:val="21"/>
                <w:szCs w:val="21"/>
              </w:rPr>
              <w:t>成都崇州经济开发区创新路一段30号11单元2-2号</w:t>
            </w:r>
          </w:p>
        </w:tc>
        <w:tc>
          <w:tcPr>
            <w:tcW w:w="2267" w:type="dxa"/>
          </w:tcPr>
          <w:p>
            <w:pPr>
              <w:spacing w:before="40" w:after="40"/>
              <w:rPr>
                <w:rFonts w:eastAsia="黑体"/>
                <w:szCs w:val="21"/>
                <w:lang w:val="de-DE" w:eastAsia="ja-JP"/>
              </w:rPr>
            </w:pPr>
            <w:r>
              <w:rPr>
                <w:sz w:val="21"/>
                <w:szCs w:val="21"/>
              </w:rPr>
              <w:t>成都崇州经济开发区创新路一段30号11单元2-2号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52</w:t>
            </w:r>
          </w:p>
        </w:tc>
        <w:tc>
          <w:tcPr>
            <w:tcW w:w="1861" w:type="dxa"/>
            <w:vAlign w:val="center"/>
          </w:tcPr>
          <w:p>
            <w:pPr>
              <w:pStyle w:val="20"/>
              <w:rPr>
                <w:rFonts w:eastAsia="黑体" w:cs="Arial"/>
                <w:sz w:val="21"/>
                <w:szCs w:val="21"/>
                <w:lang w:val="en-US" w:eastAsia="ja-JP"/>
              </w:rPr>
            </w:pPr>
            <w:r>
              <w:rPr>
                <w:rFonts w:ascii="Times New Roman" w:hAnsi="Times New Roman" w:eastAsia="宋体" w:cs="Times New Roman"/>
                <w:kern w:val="2"/>
                <w:sz w:val="21"/>
                <w:szCs w:val="21"/>
                <w:lang w:val="en-US" w:eastAsia="zh-CN" w:bidi="ar-SA"/>
              </w:rPr>
              <w:t>物业管理服务</w:t>
            </w:r>
          </w:p>
        </w:tc>
        <w:tc>
          <w:tcPr>
            <w:tcW w:w="1611" w:type="dxa"/>
            <w:vAlign w:val="center"/>
          </w:tcPr>
          <w:p>
            <w:pPr>
              <w:spacing w:before="40" w:after="40"/>
              <w:rPr>
                <w:rFonts w:eastAsia="黑体"/>
                <w:szCs w:val="21"/>
                <w:lang w:eastAsia="ja-JP"/>
              </w:rPr>
            </w:pPr>
            <w:r>
              <w:rPr>
                <w:rFonts w:hint="eastAsia" w:eastAsia="黑体"/>
                <w:szCs w:val="21"/>
                <w:lang w:eastAsia="ja-JP"/>
              </w:rPr>
              <w:t>ISO 9001:2015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黑体" w:hAnsi="黑体" w:eastAsia="黑体" w:cs="黑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r>
              <w:rPr>
                <w:sz w:val="21"/>
                <w:szCs w:val="21"/>
              </w:rPr>
              <w:t>成都伍佑物业有限责任公司</w:t>
            </w:r>
            <w:r>
              <w:rPr>
                <w:rFonts w:hint="eastAsia"/>
                <w:sz w:val="21"/>
                <w:szCs w:val="21"/>
                <w:lang w:val="en-US" w:eastAsia="zh-CN"/>
              </w:rPr>
              <w:t>/</w:t>
            </w:r>
            <w:r>
              <w:rPr>
                <w:sz w:val="21"/>
                <w:szCs w:val="21"/>
              </w:rPr>
              <w:t>成都崇州经济开发区创新路一段30号11单元2-2号</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成都崇州经济开发区创新路一段30号11单元2-2号</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52</w:t>
            </w:r>
          </w:p>
        </w:tc>
        <w:tc>
          <w:tcPr>
            <w:tcW w:w="1861" w:type="dxa"/>
            <w:vAlign w:val="center"/>
          </w:tcPr>
          <w:p>
            <w:pPr>
              <w:pStyle w:val="20"/>
              <w:rPr>
                <w:rFonts w:ascii="Times New Roman" w:hAnsi="Times New Roman" w:eastAsia="黑体" w:cs="Arial"/>
                <w:kern w:val="2"/>
                <w:sz w:val="21"/>
                <w:szCs w:val="21"/>
                <w:lang w:val="en-US" w:eastAsia="ja-JP" w:bidi="ar-SA"/>
              </w:rPr>
            </w:pPr>
            <w:r>
              <w:rPr>
                <w:rFonts w:hint="eastAsia" w:ascii="Times New Roman" w:hAnsi="Times New Roman" w:eastAsia="宋体" w:cs="Times New Roman"/>
                <w:kern w:val="2"/>
                <w:sz w:val="21"/>
                <w:szCs w:val="21"/>
                <w:lang w:val="en-US" w:eastAsia="ja-JP" w:bidi="ar-SA"/>
              </w:rPr>
              <w:t>物业管理服务所涉及场所的相关环境管理活动</w:t>
            </w:r>
          </w:p>
        </w:tc>
        <w:tc>
          <w:tcPr>
            <w:tcW w:w="1611" w:type="dxa"/>
            <w:vAlign w:val="center"/>
          </w:tcPr>
          <w:p>
            <w:pPr>
              <w:spacing w:before="40" w:after="40"/>
              <w:rPr>
                <w:rFonts w:eastAsia="黑体"/>
                <w:szCs w:val="21"/>
                <w:lang w:eastAsia="ja-JP"/>
              </w:rPr>
            </w:pPr>
            <w:r>
              <w:rPr>
                <w:rFonts w:hint="eastAsia" w:eastAsia="黑体"/>
                <w:szCs w:val="21"/>
                <w:lang w:eastAsia="ja-JP"/>
              </w:rPr>
              <w:t>ISO 14001:2015</w:t>
            </w:r>
          </w:p>
        </w:tc>
        <w:sdt>
          <w:sdtPr>
            <w:rPr>
              <w:rFonts w:eastAsia="黑体"/>
              <w:szCs w:val="21"/>
            </w:rPr>
            <w:id w:val="1360237495"/>
          </w:sdtPr>
          <w:sdtEndPr>
            <w:rPr>
              <w:rFonts w:eastAsia="黑体"/>
              <w:szCs w:val="21"/>
            </w:rPr>
          </w:sdtEndPr>
          <w:sdtContent>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pPr>
                  <w:rPr>
                    <w:rFonts w:eastAsia="黑体"/>
                    <w:szCs w:val="21"/>
                  </w:rPr>
                </w:pP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r>
              <w:rPr>
                <w:sz w:val="21"/>
                <w:szCs w:val="21"/>
              </w:rPr>
              <w:t>成都伍佑物业有限责任公司</w:t>
            </w:r>
            <w:r>
              <w:rPr>
                <w:rFonts w:hint="eastAsia"/>
                <w:sz w:val="21"/>
                <w:szCs w:val="21"/>
                <w:lang w:val="en-US" w:eastAsia="zh-CN"/>
              </w:rPr>
              <w:t>/</w:t>
            </w:r>
            <w:r>
              <w:rPr>
                <w:sz w:val="21"/>
                <w:szCs w:val="21"/>
              </w:rPr>
              <w:t>成都崇州经济开发区创新路一段30号11单元2-2号</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成都崇州经济开发区创新路一段30号11单元2-2号</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52</w:t>
            </w:r>
          </w:p>
        </w:tc>
        <w:tc>
          <w:tcPr>
            <w:tcW w:w="1861" w:type="dxa"/>
            <w:vAlign w:val="center"/>
          </w:tcPr>
          <w:p>
            <w:pPr>
              <w:pStyle w:val="20"/>
              <w:rPr>
                <w:rFonts w:ascii="Times New Roman" w:hAnsi="Times New Roman" w:eastAsia="黑体" w:cs="Arial"/>
                <w:kern w:val="2"/>
                <w:sz w:val="21"/>
                <w:szCs w:val="21"/>
                <w:lang w:val="en-US" w:eastAsia="ja-JP" w:bidi="ar-SA"/>
              </w:rPr>
            </w:pPr>
            <w:r>
              <w:rPr>
                <w:rFonts w:ascii="Times New Roman" w:hAnsi="Times New Roman" w:eastAsia="宋体" w:cs="Times New Roman"/>
                <w:kern w:val="2"/>
                <w:sz w:val="21"/>
                <w:szCs w:val="21"/>
                <w:lang w:val="en-US" w:eastAsia="zh-CN" w:bidi="ar-SA"/>
              </w:rPr>
              <w:t>物业管理服务所涉及场所的相关职业健康安全管理活动</w:t>
            </w:r>
          </w:p>
        </w:tc>
        <w:tc>
          <w:tcPr>
            <w:tcW w:w="1611" w:type="dxa"/>
            <w:vAlign w:val="center"/>
          </w:tcPr>
          <w:p>
            <w:pPr>
              <w:spacing w:before="40" w:after="40"/>
              <w:rPr>
                <w:rFonts w:eastAsia="黑体"/>
                <w:szCs w:val="21"/>
                <w:lang w:eastAsia="ja-JP"/>
              </w:rPr>
            </w:pPr>
            <w:r>
              <w:rPr>
                <w:rFonts w:hint="eastAsia" w:eastAsia="黑体"/>
                <w:szCs w:val="21"/>
                <w:lang w:eastAsia="ja-JP"/>
              </w:rPr>
              <w:t>ISO45001：2018</w:t>
            </w:r>
          </w:p>
        </w:tc>
        <w:sdt>
          <w:sdtPr>
            <w:rPr>
              <w:rFonts w:eastAsia="黑体"/>
              <w:szCs w:val="21"/>
            </w:rPr>
            <w:id w:val="1022285066"/>
          </w:sdtPr>
          <w:sdtEndPr>
            <w:rPr>
              <w:rFonts w:eastAsia="黑体"/>
              <w:szCs w:val="21"/>
            </w:rPr>
          </w:sdtEndPr>
          <w:sdtContent>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pPr>
                  <w:rPr>
                    <w:rFonts w:eastAsia="黑体"/>
                    <w:szCs w:val="21"/>
                  </w:rPr>
                </w:pP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cs="Times New Roman"/>
                <w:b w:val="0"/>
                <w:bCs/>
                <w:sz w:val="20"/>
                <w:lang w:val="en-GB" w:eastAsia="zh-CN"/>
              </w:rPr>
              <w:t>《营业执照》是否有效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jc w:val="both"/>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3C</w:t>
            </w:r>
            <w:r>
              <w:rPr>
                <w:rFonts w:hint="eastAsia" w:ascii="宋体" w:hAnsi="宋体" w:eastAsia="宋体" w:cs="Times New Roman"/>
                <w:b w:val="0"/>
                <w:bCs/>
                <w:sz w:val="20"/>
                <w:lang w:val="en-US" w:eastAsia="zh-CN"/>
              </w:rPr>
              <w:t>认证</w:t>
            </w:r>
            <w:r>
              <w:rPr>
                <w:rFonts w:hint="eastAsia" w:ascii="宋体" w:hAnsi="宋体" w:eastAsia="宋体" w:cs="Times New Roman"/>
                <w:b w:val="0"/>
                <w:bCs/>
                <w:sz w:val="20"/>
                <w:lang w:val="en-GB" w:eastAsia="zh-CN"/>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jc w:val="both"/>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jc w:val="both"/>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US" w:eastAsia="zh-CN"/>
              </w:rPr>
              <w:t>食品□</w:t>
            </w:r>
            <w:r>
              <w:rPr>
                <w:rFonts w:hint="eastAsia" w:ascii="宋体" w:hAnsi="宋体" w:eastAsia="宋体" w:cs="Times New Roman"/>
                <w:b w:val="0"/>
                <w:bCs/>
                <w:sz w:val="20"/>
                <w:lang w:val="en-GB" w:eastAsia="zh-CN"/>
              </w:rPr>
              <w:t>生产</w:t>
            </w:r>
            <w:r>
              <w:rPr>
                <w:rFonts w:hint="eastAsia" w:ascii="宋体" w:hAnsi="宋体" w:eastAsia="宋体" w:cs="Times New Roman"/>
                <w:b w:val="0"/>
                <w:bCs/>
                <w:sz w:val="20"/>
                <w:lang w:val="en-US" w:eastAsia="zh-CN"/>
              </w:rPr>
              <w:t>/□经营/□流通许可证</w:t>
            </w:r>
            <w:r>
              <w:rPr>
                <w:rFonts w:hint="eastAsia" w:ascii="宋体" w:hAnsi="宋体" w:eastAsia="宋体" w:cs="Times New Roman"/>
                <w:b w:val="0"/>
                <w:bCs/>
                <w:sz w:val="20"/>
                <w:lang w:val="en-GB" w:eastAsia="zh-CN"/>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jc w:val="both"/>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jc w:val="both"/>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jc w:val="both"/>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vAlign w:val="top"/>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vAlign w:val="top"/>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vAlign w:val="top"/>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vAlign w:val="top"/>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vAlign w:val="top"/>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vAlign w:val="top"/>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vAlign w:val="top"/>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vAlign w:val="top"/>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vAlign w:val="top"/>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vAlign w:val="top"/>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vAlign w:val="top"/>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top"/>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vAlign w:val="top"/>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eastAsia="宋体" w:cs="Times New Roman"/>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vAlign w:val="top"/>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eastAsia="宋体" w:cs="Times New Roman"/>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20-21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2021年10月10日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eastAsia="zh-CN"/>
              </w:rPr>
            </w:pPr>
            <w:r>
              <w:rPr>
                <w:rFonts w:hint="eastAsia" w:ascii="宋体"/>
                <w:color w:val="000000"/>
                <w:szCs w:val="21"/>
                <w:lang w:eastAsia="zh-CN"/>
              </w:rPr>
              <w:t>物业服务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物业服务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rPr>
              <w:t>化粪池清掏、电梯维保</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auto"/>
                <w:szCs w:val="21"/>
              </w:rPr>
            </w:pPr>
            <w:r>
              <w:rPr>
                <w:rFonts w:hint="eastAsia" w:ascii="宋体" w:hAnsi="宋体"/>
                <w:color w:val="auto"/>
                <w:szCs w:val="21"/>
              </w:rPr>
              <w:t>监视和测量资源</w:t>
            </w:r>
          </w:p>
        </w:tc>
        <w:tc>
          <w:tcPr>
            <w:tcW w:w="4191" w:type="dxa"/>
            <w:shd w:val="clear" w:color="auto" w:fill="DBEEF3" w:themeFill="accent5" w:themeFillTint="32"/>
          </w:tcPr>
          <w:p>
            <w:pPr>
              <w:rPr>
                <w:rFonts w:ascii="宋体"/>
                <w:color w:val="auto"/>
                <w:szCs w:val="21"/>
              </w:rPr>
            </w:pPr>
            <w:r>
              <w:rPr>
                <w:rFonts w:hint="eastAsia" w:ascii="宋体"/>
                <w:color w:val="auto"/>
                <w:szCs w:val="21"/>
              </w:rPr>
              <w:t>是否满足产品检测的需要</w:t>
            </w:r>
          </w:p>
        </w:tc>
        <w:tc>
          <w:tcPr>
            <w:tcW w:w="1063" w:type="dxa"/>
            <w:shd w:val="clear" w:color="auto" w:fill="DBEEF3" w:themeFill="accent5" w:themeFillTint="32"/>
            <w:vAlign w:val="top"/>
          </w:tcPr>
          <w:p>
            <w:pPr>
              <w:rPr>
                <w:rFonts w:ascii="宋体"/>
                <w:color w:val="auto"/>
                <w:szCs w:val="21"/>
              </w:rPr>
            </w:pPr>
            <w:r>
              <w:rPr>
                <w:rFonts w:hint="eastAsia" w:ascii="宋体"/>
                <w:color w:val="auto"/>
                <w:szCs w:val="21"/>
                <w:lang w:eastAsia="zh-CN"/>
              </w:rPr>
              <w:t>■</w:t>
            </w:r>
            <w:r>
              <w:rPr>
                <w:rFonts w:hint="eastAsia" w:ascii="宋体"/>
                <w:color w:val="auto"/>
                <w:szCs w:val="21"/>
              </w:rPr>
              <w:t xml:space="preserve">是     </w:t>
            </w:r>
          </w:p>
        </w:tc>
        <w:tc>
          <w:tcPr>
            <w:tcW w:w="1637" w:type="dxa"/>
            <w:shd w:val="clear" w:color="auto" w:fill="DBEEF3" w:themeFill="accent5" w:themeFillTint="32"/>
          </w:tcPr>
          <w:p>
            <w:pPr>
              <w:rPr>
                <w:rFonts w:ascii="宋体"/>
                <w:color w:val="auto"/>
                <w:szCs w:val="21"/>
              </w:rPr>
            </w:pPr>
            <w:r>
              <w:rPr>
                <w:rFonts w:hint="eastAsia" w:asci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 w:val="20"/>
                <w:szCs w:val="20"/>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 w:val="20"/>
                <w:szCs w:val="20"/>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b/>
                <w:color w:val="000000"/>
                <w:sz w:val="20"/>
                <w:szCs w:val="20"/>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7329" w:type="dxa"/>
            <w:gridSpan w:val="2"/>
            <w:shd w:val="clear" w:color="auto" w:fill="92D050"/>
          </w:tcPr>
          <w:p>
            <w:pPr>
              <w:rPr>
                <w:rFonts w:hint="eastAsia" w:ascii="宋体" w:hAnsi="宋体" w:eastAsia="宋体" w:cs="Times New Roman"/>
                <w:color w:val="000000"/>
                <w:szCs w:val="21"/>
              </w:rPr>
            </w:pPr>
            <w:r>
              <w:rPr>
                <w:rFonts w:hint="eastAsia" w:ascii="宋体" w:hAnsi="宋体" w:eastAsia="宋体" w:cs="Times New Roman"/>
                <w:color w:val="000000"/>
                <w:szCs w:val="21"/>
              </w:rPr>
              <w:t>（1）是否明确了环境管理体系的覆盖范围</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7329" w:type="dxa"/>
            <w:gridSpan w:val="2"/>
            <w:shd w:val="clear" w:color="auto" w:fill="92D050"/>
          </w:tcPr>
          <w:p>
            <w:pPr>
              <w:rPr>
                <w:rFonts w:hint="eastAsia" w:ascii="宋体" w:hAnsi="宋体" w:eastAsia="宋体" w:cs="Times New Roman"/>
                <w:color w:val="000000"/>
                <w:szCs w:val="21"/>
              </w:rPr>
            </w:pPr>
            <w:r>
              <w:rPr>
                <w:rFonts w:hint="eastAsia" w:ascii="宋体" w:hAnsi="宋体" w:eastAsia="宋体" w:cs="Times New Roman"/>
                <w:color w:val="000000"/>
                <w:szCs w:val="21"/>
              </w:rPr>
              <w:t>（2）按生命周期观点环境因素识别是否充分</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329" w:type="dxa"/>
            <w:gridSpan w:val="2"/>
            <w:shd w:val="clear" w:color="auto" w:fill="92D050"/>
          </w:tcPr>
          <w:p>
            <w:pPr>
              <w:rPr>
                <w:rFonts w:hint="eastAsia" w:ascii="宋体" w:hAnsi="宋体" w:eastAsia="宋体" w:cs="Times New Roman"/>
                <w:color w:val="000000"/>
                <w:szCs w:val="21"/>
              </w:rPr>
            </w:pPr>
            <w:r>
              <w:rPr>
                <w:rFonts w:hint="eastAsia" w:ascii="宋体" w:hAnsi="宋体" w:eastAsia="宋体" w:cs="Times New Roman"/>
                <w:color w:val="000000"/>
                <w:szCs w:val="21"/>
              </w:rPr>
              <w:t>（3）是否确定了重要环境因素评价的方法和准则</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黑体" w:hAnsi="黑体" w:eastAsia="黑体" w:cs="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themeColor="text1"/>
                <w:szCs w:val="21"/>
              </w:rPr>
            </w:pPr>
            <w:r>
              <w:rPr>
                <w:rFonts w:hint="eastAsia" w:ascii="宋体" w:hAnsi="宋体"/>
                <w:b/>
                <w:color w:val="000000" w:themeColor="text1"/>
                <w:szCs w:val="21"/>
              </w:rPr>
              <w:t>确定多场所/临时场所的分布、距离及预估路途时间（适用时）</w:t>
            </w:r>
          </w:p>
        </w:tc>
        <w:tc>
          <w:tcPr>
            <w:tcW w:w="7134" w:type="dxa"/>
          </w:tcPr>
          <w:p>
            <w:pPr>
              <w:spacing w:line="360" w:lineRule="auto"/>
              <w:rPr>
                <w:rFonts w:ascii="宋体"/>
                <w:b/>
                <w:color w:val="000000" w:themeColor="text1"/>
                <w:szCs w:val="21"/>
              </w:rPr>
            </w:pPr>
            <w:r>
              <w:rPr>
                <w:rFonts w:hint="eastAsia" w:ascii="宋体" w:hAnsi="宋体" w:eastAsia="宋体" w:cs="Times New Roman"/>
                <w:b/>
                <w:color w:val="000000" w:themeColor="text1"/>
                <w:szCs w:val="21"/>
                <w:lang w:val="en-US" w:eastAsia="zh-CN"/>
              </w:rPr>
              <w:t>有临时场所1个，离公司本部</w:t>
            </w:r>
            <w:r>
              <w:rPr>
                <w:rFonts w:hint="eastAsia" w:ascii="宋体" w:hAnsi="宋体" w:cs="Times New Roman"/>
                <w:b/>
                <w:color w:val="000000" w:themeColor="text1"/>
                <w:szCs w:val="21"/>
                <w:lang w:val="en-US" w:eastAsia="zh-CN"/>
              </w:rPr>
              <w:t>车程15</w:t>
            </w:r>
            <w:r>
              <w:rPr>
                <w:rFonts w:hint="eastAsia" w:ascii="宋体" w:hAnsi="宋体" w:eastAsia="宋体" w:cs="Times New Roman"/>
                <w:b/>
                <w:color w:val="000000" w:themeColor="text1"/>
                <w:szCs w:val="21"/>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2021-12-2</w:t>
            </w:r>
            <w:bookmarkEnd w:id="35"/>
            <w:r>
              <w:rPr>
                <w:rFonts w:hint="eastAsia" w:ascii="宋体"/>
                <w:b/>
                <w:color w:val="000000"/>
                <w:szCs w:val="21"/>
                <w:lang w:val="en-US" w:eastAsia="zh-CN"/>
              </w:rPr>
              <w:t>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color w:val="000000"/>
                <w:szCs w:val="21"/>
                <w:lang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color w:val="000000"/>
                <w:szCs w:val="21"/>
                <w:lang w:eastAsia="zh-CN"/>
              </w:rPr>
              <w:t>■</w:t>
            </w:r>
            <w:r>
              <w:rPr>
                <w:rFonts w:ascii="宋体" w:hAnsi="宋体"/>
                <w:b/>
                <w:color w:val="000000"/>
                <w:szCs w:val="21"/>
              </w:rPr>
              <w:t>EMS/</w:t>
            </w:r>
            <w:r>
              <w:rPr>
                <w:rFonts w:hint="eastAsia" w:ascii="宋体" w:hAnsi="宋体"/>
                <w:color w:val="000000"/>
                <w:szCs w:val="21"/>
                <w:lang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color w:val="00000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bookmarkStart w:id="36" w:name="_GoBack"/>
            <w:bookmarkEnd w:id="36"/>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color w:val="000000"/>
                <w:szCs w:val="21"/>
                <w:lang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color w:val="000000"/>
                <w:szCs w:val="21"/>
                <w:lang w:eastAsia="zh-CN"/>
              </w:rPr>
              <w:t>■</w:t>
            </w:r>
            <w:r>
              <w:rPr>
                <w:rFonts w:ascii="宋体" w:hAnsi="宋体"/>
                <w:b/>
                <w:color w:val="000000"/>
                <w:szCs w:val="21"/>
              </w:rPr>
              <w:t>EMS/</w:t>
            </w:r>
            <w:r>
              <w:rPr>
                <w:rFonts w:hint="eastAsia" w:ascii="宋体" w:hAnsi="宋体"/>
                <w:color w:val="000000"/>
                <w:szCs w:val="21"/>
                <w:lang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color w:val="00000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t>物业管理服务</w:t>
            </w:r>
          </w:p>
        </w:tc>
        <w:tc>
          <w:tcPr>
            <w:tcW w:w="1541" w:type="dxa"/>
            <w:vAlign w:val="center"/>
          </w:tcPr>
          <w:p>
            <w:pPr>
              <w:spacing w:line="40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p>
        </w:tc>
        <w:tc>
          <w:tcPr>
            <w:tcW w:w="1541" w:type="dxa"/>
            <w:vAlign w:val="center"/>
          </w:tcPr>
          <w:p>
            <w:pPr>
              <w:spacing w:line="400" w:lineRule="exact"/>
              <w:rPr>
                <w:rFonts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t>物业管理服务所涉及场所的相关环境管理活动</w:t>
            </w:r>
          </w:p>
        </w:tc>
        <w:tc>
          <w:tcPr>
            <w:tcW w:w="1541" w:type="dxa"/>
            <w:vAlign w:val="center"/>
          </w:tcPr>
          <w:p>
            <w:pPr>
              <w:spacing w:line="400" w:lineRule="exact"/>
              <w:rPr>
                <w:rFonts w:ascii="Times New Roman" w:hAnsi="Times New Roman" w:eastAsia="宋体" w:cs="Times New Roman"/>
                <w:lang w:val="en-US" w:eastAsia="zh-CN"/>
              </w:rPr>
            </w:pPr>
            <w:r>
              <w:rPr>
                <w:rFonts w:hint="eastAsia" w:ascii="Times New Roman" w:hAnsi="Times New Roman" w:eastAsia="宋体" w:cs="Times New Roman"/>
                <w:lang w:val="en-US" w:eastAsia="zh-CN"/>
              </w:rP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t>物业管理服务所涉及场所的相关职业健康安全管理活动</w:t>
            </w:r>
          </w:p>
        </w:tc>
        <w:tc>
          <w:tcPr>
            <w:tcW w:w="1541" w:type="dxa"/>
            <w:vAlign w:val="center"/>
          </w:tcPr>
          <w:p>
            <w:pPr>
              <w:spacing w:line="400" w:lineRule="exact"/>
              <w:rPr>
                <w:rFonts w:ascii="Times New Roman" w:hAnsi="Times New Roman" w:eastAsia="宋体" w:cs="Times New Roman"/>
                <w:lang w:val="en-US" w:eastAsia="zh-CN"/>
              </w:rPr>
            </w:pPr>
            <w:r>
              <w:rPr>
                <w:rFonts w:hint="eastAsia" w:ascii="Times New Roman" w:hAnsi="Times New Roman" w:eastAsia="宋体" w:cs="Times New Roman"/>
                <w:lang w:val="en-US" w:eastAsia="zh-CN"/>
              </w:rP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4384" behindDoc="0" locked="0" layoutInCell="1" allowOverlap="1">
            <wp:simplePos x="0" y="0"/>
            <wp:positionH relativeFrom="column">
              <wp:posOffset>5420360</wp:posOffset>
            </wp:positionH>
            <wp:positionV relativeFrom="paragraph">
              <wp:posOffset>267970</wp:posOffset>
            </wp:positionV>
            <wp:extent cx="590550" cy="428625"/>
            <wp:effectExtent l="0" t="0" r="0" b="952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6" cstate="print"/>
                    <a:srcRect/>
                    <a:stretch>
                      <a:fillRect/>
                    </a:stretch>
                  </pic:blipFill>
                  <pic:spPr>
                    <a:xfrm>
                      <a:off x="0" y="0"/>
                      <a:ext cx="590550" cy="428625"/>
                    </a:xfrm>
                    <a:prstGeom prst="rect">
                      <a:avLst/>
                    </a:prstGeom>
                    <a:noFill/>
                    <a:ln w="9525">
                      <a:noFill/>
                      <a:miter lim="800000"/>
                      <a:headEnd/>
                      <a:tailEnd/>
                    </a:ln>
                  </pic:spPr>
                </pic:pic>
              </a:graphicData>
            </a:graphic>
          </wp:anchor>
        </w:drawing>
      </w:r>
      <w:r>
        <w:rPr>
          <w:sz w:val="22"/>
          <w:szCs w:val="22"/>
        </w:rPr>
        <w:drawing>
          <wp:anchor distT="0" distB="0" distL="114300" distR="114300" simplePos="0" relativeHeight="251663360" behindDoc="0" locked="0" layoutInCell="1" allowOverlap="1">
            <wp:simplePos x="0" y="0"/>
            <wp:positionH relativeFrom="column">
              <wp:posOffset>4769485</wp:posOffset>
            </wp:positionH>
            <wp:positionV relativeFrom="paragraph">
              <wp:posOffset>316230</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cstate="print"/>
                    <a:stretch>
                      <a:fillRect/>
                    </a:stretch>
                  </pic:blipFill>
                  <pic:spPr>
                    <a:xfrm>
                      <a:off x="0" y="0"/>
                      <a:ext cx="516255" cy="3384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1773555</wp:posOffset>
            </wp:positionH>
            <wp:positionV relativeFrom="paragraph">
              <wp:posOffset>280035</wp:posOffset>
            </wp:positionV>
            <wp:extent cx="815340" cy="403860"/>
            <wp:effectExtent l="0" t="0" r="3810" b="15240"/>
            <wp:wrapNone/>
            <wp:docPr id="53"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fd760dbe16eb6185a5a45f762861822"/>
                    <pic:cNvPicPr>
                      <a:picLocks noChangeAspect="1"/>
                    </pic:cNvPicPr>
                  </pic:nvPicPr>
                  <pic:blipFill>
                    <a:blip r:embed="rId8"/>
                    <a:stretch>
                      <a:fillRect/>
                    </a:stretch>
                  </pic:blipFill>
                  <pic:spPr>
                    <a:xfrm>
                      <a:off x="0" y="0"/>
                      <a:ext cx="815340" cy="40386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2021.12.22</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成都伍佑物业有限责任公司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647"/>
        <w:gridCol w:w="1473"/>
        <w:gridCol w:w="1483"/>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435"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473"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48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789"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r>
              <w:rPr>
                <w:rFonts w:hint="eastAsia" w:ascii="宋体"/>
                <w:color w:val="000000"/>
                <w:sz w:val="21"/>
                <w:szCs w:val="21"/>
              </w:rPr>
              <w:t>1</w:t>
            </w:r>
          </w:p>
        </w:tc>
        <w:tc>
          <w:tcPr>
            <w:tcW w:w="5435" w:type="dxa"/>
            <w:gridSpan w:val="2"/>
            <w:vAlign w:val="center"/>
          </w:tcPr>
          <w:p>
            <w:pPr>
              <w:pStyle w:val="7"/>
              <w:pBdr>
                <w:bottom w:val="none" w:color="auto" w:sz="0" w:space="0"/>
              </w:pBdr>
              <w:tabs>
                <w:tab w:val="center" w:pos="5737"/>
                <w:tab w:val="clear" w:pos="4153"/>
              </w:tabs>
              <w:jc w:val="both"/>
              <w:rPr>
                <w:color w:val="000000"/>
                <w:sz w:val="21"/>
                <w:szCs w:val="21"/>
              </w:rPr>
            </w:pPr>
            <w:r>
              <w:rPr>
                <w:rFonts w:hint="eastAsia" w:ascii="宋体" w:hAnsi="宋体" w:cs="宋体"/>
                <w:color w:val="auto"/>
                <w:sz w:val="21"/>
                <w:szCs w:val="21"/>
                <w:highlight w:val="none"/>
                <w:lang w:val="en-US" w:eastAsia="zh-CN"/>
              </w:rPr>
              <w:t>用于维修测量用的万用表</w:t>
            </w:r>
            <w:r>
              <w:rPr>
                <w:rFonts w:hint="eastAsia" w:ascii="宋体" w:hAnsi="宋体" w:cs="宋体"/>
                <w:color w:val="auto"/>
                <w:sz w:val="21"/>
                <w:szCs w:val="21"/>
                <w:highlight w:val="none"/>
                <w:lang w:eastAsia="zh-CN"/>
              </w:rPr>
              <w:t>，</w:t>
            </w:r>
            <w:r>
              <w:rPr>
                <w:rFonts w:hint="eastAsia"/>
                <w:color w:val="000000"/>
                <w:sz w:val="21"/>
                <w:szCs w:val="21"/>
              </w:rPr>
              <w:t>未提供有效的检定或校准记录</w:t>
            </w:r>
          </w:p>
        </w:tc>
        <w:tc>
          <w:tcPr>
            <w:tcW w:w="1473" w:type="dxa"/>
            <w:vAlign w:val="center"/>
          </w:tcPr>
          <w:p>
            <w:pPr>
              <w:pStyle w:val="7"/>
              <w:pBdr>
                <w:bottom w:val="none" w:color="auto" w:sz="0" w:space="0"/>
              </w:pBdr>
              <w:ind w:right="600"/>
              <w:jc w:val="both"/>
              <w:rPr>
                <w:color w:val="000000"/>
                <w:sz w:val="21"/>
                <w:szCs w:val="21"/>
              </w:rPr>
            </w:pPr>
            <w:r>
              <w:rPr>
                <w:rFonts w:hint="eastAsia" w:ascii="宋体" w:hAnsi="宋体"/>
                <w:b/>
                <w:sz w:val="21"/>
                <w:szCs w:val="21"/>
              </w:rPr>
              <w:t>GB/T19001-2016</w:t>
            </w:r>
          </w:p>
        </w:tc>
        <w:tc>
          <w:tcPr>
            <w:tcW w:w="1483" w:type="dxa"/>
            <w:vAlign w:val="center"/>
          </w:tcPr>
          <w:p>
            <w:pPr>
              <w:pStyle w:val="7"/>
              <w:pBdr>
                <w:bottom w:val="none" w:color="auto" w:sz="0" w:space="0"/>
              </w:pBdr>
              <w:ind w:right="600"/>
              <w:rPr>
                <w:color w:val="000000"/>
                <w:sz w:val="21"/>
                <w:szCs w:val="21"/>
              </w:rPr>
            </w:pPr>
            <w:r>
              <w:rPr>
                <w:rFonts w:hint="eastAsia" w:ascii="宋体" w:hAnsi="宋体"/>
                <w:b/>
                <w:sz w:val="21"/>
                <w:szCs w:val="21"/>
              </w:rPr>
              <w:t>7.1.5</w:t>
            </w:r>
          </w:p>
        </w:tc>
        <w:tc>
          <w:tcPr>
            <w:tcW w:w="789" w:type="dxa"/>
            <w:vAlign w:val="center"/>
          </w:tcPr>
          <w:p>
            <w:pPr>
              <w:pStyle w:val="7"/>
              <w:pBdr>
                <w:bottom w:val="none" w:color="auto" w:sz="0" w:space="0"/>
              </w:pBdr>
              <w:ind w:right="600"/>
              <w:jc w:val="both"/>
              <w:rPr>
                <w:color w:val="000000"/>
                <w:sz w:val="21"/>
                <w:szCs w:val="21"/>
              </w:rPr>
            </w:pPr>
            <w:r>
              <w:rPr>
                <w:rFonts w:hint="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435"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473" w:type="dxa"/>
            <w:vAlign w:val="center"/>
          </w:tcPr>
          <w:p>
            <w:pPr>
              <w:pStyle w:val="7"/>
              <w:pBdr>
                <w:bottom w:val="none" w:color="auto" w:sz="0" w:space="0"/>
              </w:pBdr>
              <w:ind w:right="600"/>
              <w:jc w:val="both"/>
              <w:rPr>
                <w:color w:val="000000"/>
                <w:sz w:val="21"/>
                <w:szCs w:val="21"/>
              </w:rPr>
            </w:pPr>
          </w:p>
        </w:tc>
        <w:tc>
          <w:tcPr>
            <w:tcW w:w="1483" w:type="dxa"/>
            <w:vAlign w:val="center"/>
          </w:tcPr>
          <w:p>
            <w:pPr>
              <w:pStyle w:val="7"/>
              <w:pBdr>
                <w:bottom w:val="none" w:color="auto" w:sz="0" w:space="0"/>
              </w:pBdr>
              <w:ind w:right="600"/>
              <w:jc w:val="both"/>
              <w:rPr>
                <w:color w:val="000000"/>
                <w:sz w:val="21"/>
                <w:szCs w:val="21"/>
              </w:rPr>
            </w:pPr>
          </w:p>
        </w:tc>
        <w:tc>
          <w:tcPr>
            <w:tcW w:w="789"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435"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473" w:type="dxa"/>
            <w:vAlign w:val="center"/>
          </w:tcPr>
          <w:p>
            <w:pPr>
              <w:pStyle w:val="7"/>
              <w:pBdr>
                <w:bottom w:val="none" w:color="auto" w:sz="0" w:space="0"/>
              </w:pBdr>
              <w:ind w:right="600"/>
              <w:jc w:val="both"/>
              <w:rPr>
                <w:color w:val="000000"/>
                <w:sz w:val="21"/>
                <w:szCs w:val="21"/>
              </w:rPr>
            </w:pPr>
          </w:p>
        </w:tc>
        <w:tc>
          <w:tcPr>
            <w:tcW w:w="1483" w:type="dxa"/>
            <w:vAlign w:val="center"/>
          </w:tcPr>
          <w:p>
            <w:pPr>
              <w:pStyle w:val="7"/>
              <w:pBdr>
                <w:bottom w:val="none" w:color="auto" w:sz="0" w:space="0"/>
              </w:pBdr>
              <w:ind w:right="600"/>
              <w:jc w:val="both"/>
              <w:rPr>
                <w:color w:val="000000"/>
                <w:sz w:val="21"/>
                <w:szCs w:val="21"/>
              </w:rPr>
            </w:pPr>
          </w:p>
        </w:tc>
        <w:tc>
          <w:tcPr>
            <w:tcW w:w="789"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435"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473" w:type="dxa"/>
            <w:vAlign w:val="center"/>
          </w:tcPr>
          <w:p>
            <w:pPr>
              <w:pStyle w:val="7"/>
              <w:pBdr>
                <w:bottom w:val="none" w:color="auto" w:sz="0" w:space="0"/>
              </w:pBdr>
              <w:ind w:right="600"/>
              <w:jc w:val="both"/>
              <w:rPr>
                <w:color w:val="000000"/>
                <w:sz w:val="21"/>
                <w:szCs w:val="21"/>
              </w:rPr>
            </w:pPr>
          </w:p>
        </w:tc>
        <w:tc>
          <w:tcPr>
            <w:tcW w:w="1483" w:type="dxa"/>
            <w:vAlign w:val="center"/>
          </w:tcPr>
          <w:p>
            <w:pPr>
              <w:pStyle w:val="7"/>
              <w:pBdr>
                <w:bottom w:val="none" w:color="auto" w:sz="0" w:space="0"/>
              </w:pBdr>
              <w:ind w:right="600"/>
              <w:jc w:val="both"/>
              <w:rPr>
                <w:color w:val="000000"/>
                <w:sz w:val="21"/>
                <w:szCs w:val="21"/>
              </w:rPr>
            </w:pPr>
          </w:p>
        </w:tc>
        <w:tc>
          <w:tcPr>
            <w:tcW w:w="789"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435"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473" w:type="dxa"/>
            <w:vAlign w:val="center"/>
          </w:tcPr>
          <w:p>
            <w:pPr>
              <w:pStyle w:val="7"/>
              <w:pBdr>
                <w:bottom w:val="none" w:color="auto" w:sz="0" w:space="0"/>
              </w:pBdr>
              <w:ind w:right="600"/>
              <w:jc w:val="both"/>
              <w:rPr>
                <w:color w:val="000000"/>
                <w:sz w:val="21"/>
                <w:szCs w:val="21"/>
              </w:rPr>
            </w:pPr>
          </w:p>
        </w:tc>
        <w:tc>
          <w:tcPr>
            <w:tcW w:w="1483" w:type="dxa"/>
            <w:vAlign w:val="center"/>
          </w:tcPr>
          <w:p>
            <w:pPr>
              <w:pStyle w:val="7"/>
              <w:pBdr>
                <w:bottom w:val="none" w:color="auto" w:sz="0" w:space="0"/>
              </w:pBdr>
              <w:ind w:right="600"/>
              <w:jc w:val="both"/>
              <w:rPr>
                <w:color w:val="000000"/>
                <w:sz w:val="21"/>
                <w:szCs w:val="21"/>
              </w:rPr>
            </w:pPr>
          </w:p>
        </w:tc>
        <w:tc>
          <w:tcPr>
            <w:tcW w:w="789"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rPr>
              <w:drawing>
                <wp:anchor distT="0" distB="0" distL="114300" distR="114300" simplePos="0" relativeHeight="251665408" behindDoc="0" locked="0" layoutInCell="1" allowOverlap="1">
                  <wp:simplePos x="0" y="0"/>
                  <wp:positionH relativeFrom="column">
                    <wp:posOffset>691515</wp:posOffset>
                  </wp:positionH>
                  <wp:positionV relativeFrom="paragraph">
                    <wp:posOffset>69850</wp:posOffset>
                  </wp:positionV>
                  <wp:extent cx="812800" cy="400050"/>
                  <wp:effectExtent l="0" t="0" r="10160" b="11430"/>
                  <wp:wrapNone/>
                  <wp:docPr id="5"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descr="6f6c635d400c29486ef2a72372c844e"/>
                          <pic:cNvPicPr>
                            <a:picLocks noChangeAspect="1"/>
                          </pic:cNvPicPr>
                        </pic:nvPicPr>
                        <pic:blipFill>
                          <a:blip r:embed="rId9" cstate="print"/>
                          <a:stretch>
                            <a:fillRect/>
                          </a:stretch>
                        </pic:blipFill>
                        <pic:spPr>
                          <a:xfrm>
                            <a:off x="0" y="0"/>
                            <a:ext cx="812800" cy="40005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日期：2021年1</w:t>
            </w:r>
            <w:r>
              <w:rPr>
                <w:rFonts w:hint="eastAsia"/>
                <w:b/>
                <w:color w:val="000000"/>
                <w:szCs w:val="21"/>
                <w:lang w:val="en-US" w:eastAsia="zh-CN"/>
              </w:rPr>
              <w:t>2</w:t>
            </w:r>
            <w:r>
              <w:rPr>
                <w:rFonts w:hint="eastAsia"/>
                <w:b/>
                <w:color w:val="000000"/>
                <w:szCs w:val="21"/>
              </w:rPr>
              <w:t xml:space="preserve">月 </w:t>
            </w:r>
            <w:r>
              <w:rPr>
                <w:rFonts w:hint="eastAsia"/>
                <w:b/>
                <w:color w:val="000000"/>
                <w:szCs w:val="21"/>
                <w:lang w:val="en-US" w:eastAsia="zh-CN"/>
              </w:rPr>
              <w:t>22</w:t>
            </w:r>
            <w:r>
              <w:rPr>
                <w:rFonts w:hint="eastAsia"/>
                <w:b/>
                <w:color w:val="000000"/>
                <w:szCs w:val="21"/>
              </w:rPr>
              <w:t xml:space="preserve"> 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 xml:space="preserve">受审核方代表: </w:t>
            </w:r>
            <w:r>
              <w:rPr>
                <w:rFonts w:hint="eastAsia"/>
                <w:szCs w:val="21"/>
                <w:lang w:val="en-US" w:eastAsia="zh-CN"/>
              </w:rPr>
              <w:t>彭冬雨</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日期：2021年1</w:t>
            </w:r>
            <w:r>
              <w:rPr>
                <w:rFonts w:hint="eastAsia"/>
                <w:b/>
                <w:color w:val="000000"/>
                <w:szCs w:val="21"/>
                <w:lang w:val="en-US" w:eastAsia="zh-CN"/>
              </w:rPr>
              <w:t>2</w:t>
            </w:r>
            <w:r>
              <w:rPr>
                <w:rFonts w:hint="eastAsia"/>
                <w:b/>
                <w:color w:val="000000"/>
                <w:szCs w:val="21"/>
              </w:rPr>
              <w:t>月 2</w:t>
            </w:r>
            <w:r>
              <w:rPr>
                <w:rFonts w:hint="eastAsia"/>
                <w:b/>
                <w:color w:val="000000"/>
                <w:szCs w:val="21"/>
                <w:lang w:val="en-US" w:eastAsia="zh-CN"/>
              </w:rPr>
              <w:t>2</w:t>
            </w:r>
            <w:r>
              <w:rPr>
                <w:rFonts w:hint="eastAsia"/>
                <w:b/>
                <w:color w:val="000000"/>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00D1465"/>
    <w:rsid w:val="00C1221B"/>
    <w:rsid w:val="01F42AC1"/>
    <w:rsid w:val="0284239B"/>
    <w:rsid w:val="02A1111E"/>
    <w:rsid w:val="032338E1"/>
    <w:rsid w:val="039E565E"/>
    <w:rsid w:val="03A85C19"/>
    <w:rsid w:val="05177476"/>
    <w:rsid w:val="06346752"/>
    <w:rsid w:val="085F12F4"/>
    <w:rsid w:val="092E3A4F"/>
    <w:rsid w:val="098F7F23"/>
    <w:rsid w:val="0A0E037F"/>
    <w:rsid w:val="0A314B36"/>
    <w:rsid w:val="0A5922DF"/>
    <w:rsid w:val="0C721436"/>
    <w:rsid w:val="0F1D0D89"/>
    <w:rsid w:val="0F1F0A19"/>
    <w:rsid w:val="10085F0D"/>
    <w:rsid w:val="11650090"/>
    <w:rsid w:val="12BD3D65"/>
    <w:rsid w:val="131669F2"/>
    <w:rsid w:val="134753CA"/>
    <w:rsid w:val="13A1474D"/>
    <w:rsid w:val="14061086"/>
    <w:rsid w:val="14253DD2"/>
    <w:rsid w:val="14883EEC"/>
    <w:rsid w:val="148C0F9E"/>
    <w:rsid w:val="157B7392"/>
    <w:rsid w:val="158D561C"/>
    <w:rsid w:val="15BB2A37"/>
    <w:rsid w:val="160E349F"/>
    <w:rsid w:val="162B0F4B"/>
    <w:rsid w:val="170671B4"/>
    <w:rsid w:val="17150A2E"/>
    <w:rsid w:val="17925102"/>
    <w:rsid w:val="17C074F9"/>
    <w:rsid w:val="18477010"/>
    <w:rsid w:val="18DF7E53"/>
    <w:rsid w:val="1954439D"/>
    <w:rsid w:val="19A90B8D"/>
    <w:rsid w:val="1A890B80"/>
    <w:rsid w:val="1ACD2659"/>
    <w:rsid w:val="1B0B7B8D"/>
    <w:rsid w:val="1B6C00C4"/>
    <w:rsid w:val="1BE23312"/>
    <w:rsid w:val="1CEB3ADD"/>
    <w:rsid w:val="1DBD6E1D"/>
    <w:rsid w:val="1DE66902"/>
    <w:rsid w:val="1E212C38"/>
    <w:rsid w:val="1E8202D5"/>
    <w:rsid w:val="20D364EF"/>
    <w:rsid w:val="20F01F24"/>
    <w:rsid w:val="217E2424"/>
    <w:rsid w:val="22F4638E"/>
    <w:rsid w:val="2443398C"/>
    <w:rsid w:val="27D74B17"/>
    <w:rsid w:val="281D62A2"/>
    <w:rsid w:val="288B76AF"/>
    <w:rsid w:val="29A313AF"/>
    <w:rsid w:val="29B1670C"/>
    <w:rsid w:val="2B7A69DC"/>
    <w:rsid w:val="2B973AFB"/>
    <w:rsid w:val="2BCA042B"/>
    <w:rsid w:val="2C3F2C8B"/>
    <w:rsid w:val="2C444745"/>
    <w:rsid w:val="2C9C04B7"/>
    <w:rsid w:val="2CF91A3F"/>
    <w:rsid w:val="2D947006"/>
    <w:rsid w:val="2DF14458"/>
    <w:rsid w:val="2F0E4B96"/>
    <w:rsid w:val="2F7C6675"/>
    <w:rsid w:val="2F9D0F0B"/>
    <w:rsid w:val="30FD1934"/>
    <w:rsid w:val="3170427B"/>
    <w:rsid w:val="32D04101"/>
    <w:rsid w:val="33A361F5"/>
    <w:rsid w:val="349D0D38"/>
    <w:rsid w:val="34EA39B0"/>
    <w:rsid w:val="35577297"/>
    <w:rsid w:val="35B73D61"/>
    <w:rsid w:val="366859E7"/>
    <w:rsid w:val="369B1405"/>
    <w:rsid w:val="37733277"/>
    <w:rsid w:val="39BA46DC"/>
    <w:rsid w:val="39FB6819"/>
    <w:rsid w:val="3A3C4128"/>
    <w:rsid w:val="3AA73B8F"/>
    <w:rsid w:val="3AAE7E2C"/>
    <w:rsid w:val="3C3F6DB1"/>
    <w:rsid w:val="3CCD7F97"/>
    <w:rsid w:val="3CEB35AE"/>
    <w:rsid w:val="3D393726"/>
    <w:rsid w:val="3E6D5755"/>
    <w:rsid w:val="404D483F"/>
    <w:rsid w:val="41B45A71"/>
    <w:rsid w:val="41E52780"/>
    <w:rsid w:val="42F00D2B"/>
    <w:rsid w:val="43976E62"/>
    <w:rsid w:val="440C749E"/>
    <w:rsid w:val="45097E82"/>
    <w:rsid w:val="46B70DFC"/>
    <w:rsid w:val="48B65D2E"/>
    <w:rsid w:val="4A6C73EE"/>
    <w:rsid w:val="4B7F3915"/>
    <w:rsid w:val="4C261585"/>
    <w:rsid w:val="4C4E3957"/>
    <w:rsid w:val="4D8031C4"/>
    <w:rsid w:val="4E0D2791"/>
    <w:rsid w:val="4E6C3227"/>
    <w:rsid w:val="4EEF1E97"/>
    <w:rsid w:val="50E517A3"/>
    <w:rsid w:val="51711289"/>
    <w:rsid w:val="55A102FF"/>
    <w:rsid w:val="576C0528"/>
    <w:rsid w:val="57CA7FC1"/>
    <w:rsid w:val="582F73E6"/>
    <w:rsid w:val="58FF717A"/>
    <w:rsid w:val="59CD111C"/>
    <w:rsid w:val="5A37459D"/>
    <w:rsid w:val="5A8D7133"/>
    <w:rsid w:val="5B070DD5"/>
    <w:rsid w:val="5B6A6C97"/>
    <w:rsid w:val="5C0D6AD2"/>
    <w:rsid w:val="5CC11316"/>
    <w:rsid w:val="5DAC24A3"/>
    <w:rsid w:val="5EA76843"/>
    <w:rsid w:val="5EB273E9"/>
    <w:rsid w:val="5FD924D3"/>
    <w:rsid w:val="61BA62AA"/>
    <w:rsid w:val="62885CA6"/>
    <w:rsid w:val="62BB6808"/>
    <w:rsid w:val="63C57C05"/>
    <w:rsid w:val="6419320B"/>
    <w:rsid w:val="664233E9"/>
    <w:rsid w:val="66682803"/>
    <w:rsid w:val="669739B9"/>
    <w:rsid w:val="66B141AA"/>
    <w:rsid w:val="6A070584"/>
    <w:rsid w:val="6A4B1EE0"/>
    <w:rsid w:val="6B5542E6"/>
    <w:rsid w:val="6B633598"/>
    <w:rsid w:val="6CDE5B45"/>
    <w:rsid w:val="6DCC4767"/>
    <w:rsid w:val="6E0B0643"/>
    <w:rsid w:val="6FBC1868"/>
    <w:rsid w:val="6FD131C7"/>
    <w:rsid w:val="70C15A45"/>
    <w:rsid w:val="716D1502"/>
    <w:rsid w:val="72181581"/>
    <w:rsid w:val="728D7C0F"/>
    <w:rsid w:val="7372081D"/>
    <w:rsid w:val="73D31512"/>
    <w:rsid w:val="74161C73"/>
    <w:rsid w:val="75BA6752"/>
    <w:rsid w:val="763D7808"/>
    <w:rsid w:val="770025E3"/>
    <w:rsid w:val="77FE6B23"/>
    <w:rsid w:val="78C338C8"/>
    <w:rsid w:val="7CCC78E4"/>
    <w:rsid w:val="7CE32E91"/>
    <w:rsid w:val="7F9F0FE3"/>
    <w:rsid w:val="7FFB2C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3</TotalTime>
  <ScaleCrop>false</ScaleCrop>
  <LinksUpToDate>false</LinksUpToDate>
  <CharactersWithSpaces>9461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2021-12-24T01:38:20Z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2052-11.1.0.11115</vt:lpwstr>
  </property>
</Properties>
</file>