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299"/>
        <w:gridCol w:w="17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成都智创利源科技有限公司</w:t>
            </w:r>
            <w:bookmarkEnd w:id="7"/>
          </w:p>
        </w:tc>
        <w:tc>
          <w:tcPr>
            <w:tcW w:w="12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9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：19.01.01;19.09.01</w:t>
            </w:r>
          </w:p>
          <w:bookmarkEnd w:id="8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5"/>
                <w:szCs w:val="15"/>
                <w:lang w:val="en-US" w:eastAsia="zh-CN"/>
              </w:rPr>
              <w:t>电子元器件的制造；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5"/>
                <w:szCs w:val="15"/>
                <w:lang w:val="en-US" w:eastAsia="zh-CN"/>
              </w:rPr>
              <w:t>电动机、发电机及变压器的制造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生产流程图：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原材料购买—入库检验—生产组装—生产检验—成品检验—成品入库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电机产品设计流程图：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需求分析-电磁设计-尺寸链计算-产品图纸设计-器件BOM表-样机试制-产品测试-试产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电子元器件设计流程图：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功能需求——原件选材——原理图设计——PCB设计——PCB组装（外包）——功能测试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工序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研发、焊接、老化、组装、检验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确认过程：研发、焊接、老化过程，也是特殊过程；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重要环境：1、潜在火灾；2、固废的排放；3、能耗；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不可接受风险：1、火灾导致人身伤害；2、触电灼伤；3、机械伤害；4、人员碰伤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、中华人民共和国劳动法、中华人民共和国安全消防法、中华人民共和国劳动合同法、中华人民共和国产品质量法、中华人民共和国安全生产法、开关磁阻电动机通用技术条件国家标准GBT34864-2017、电动汽车用电机系统GB/T18488.1-2015、电动汽车电机及控制器专用测试装备企业标准Q31/0107000044C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产品（电机、LED灯具）检验项目：外观、尺寸、性能、功能等。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110490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7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85725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79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801F86"/>
    <w:rsid w:val="288D3427"/>
    <w:rsid w:val="450E5498"/>
    <w:rsid w:val="4E967717"/>
    <w:rsid w:val="6E424713"/>
    <w:rsid w:val="7C321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2021-12-20T05:39:57Z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