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  <w:r>
              <w:rPr>
                <w:rFonts w:hint="eastAsia" w:hAnsi="宋体" w:cs="Tahoma"/>
                <w:sz w:val="24"/>
                <w:szCs w:val="24"/>
              </w:rPr>
              <w:t>北京瑞达恩科技股份有限公司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hAnsi="宋体" w:cs="Tahoma"/>
                <w:sz w:val="24"/>
                <w:szCs w:val="24"/>
              </w:rPr>
              <w:t>1323-2021-SA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1" w:name="再认证勾选"/>
            <w:r>
              <w:rPr>
                <w:rFonts w:ascii="Segoe UI Symbol" w:hAnsi="Segoe UI Symbol"/>
              </w:rPr>
              <w:t>□</w:t>
            </w:r>
            <w:bookmarkEnd w:id="1"/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bookmarkStart w:id="2" w:name="审核范围"/>
            <w:r>
              <w:rPr>
                <w:rFonts w:hAnsi="宋体" w:cs="宋体"/>
                <w:color w:val="000000"/>
                <w:kern w:val="0"/>
              </w:rPr>
              <w:t>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无人机反制探测一体装备）的研发设计；车载警务低空飞行监视系统/无人机拦截系统（包括探测装备、拦截装备、指挥控制系统、通信系统、音视频系统）研发设计、集成及技术服务相关的售后服务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 售后服务（依据GT/T27922-2011）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 </w:t>
            </w: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□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审查组长：    </w:t>
            </w:r>
            <w:r>
              <w:drawing>
                <wp:inline distT="0" distB="0" distL="114300" distR="114300">
                  <wp:extent cx="847725" cy="368300"/>
                  <wp:effectExtent l="0" t="0" r="317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lang w:val="en-US" w:eastAsia="zh-CN"/>
              </w:rPr>
              <w:t>2021</w:t>
            </w:r>
            <w:r>
              <w:rPr>
                <w:rFonts w:hint="eastAsia" w:ascii="宋体" w:hAnsi="宋体"/>
              </w:rPr>
              <w:t xml:space="preserve">   年 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</w:t>
            </w:r>
            <w:r>
              <w:drawing>
                <wp:inline distT="0" distB="0" distL="114300" distR="114300">
                  <wp:extent cx="847725" cy="368300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2021</w:t>
            </w:r>
            <w:r>
              <w:rPr>
                <w:rFonts w:hint="eastAsia" w:ascii="宋体" w:hAnsi="宋体"/>
              </w:rPr>
              <w:t xml:space="preserve">  </w:t>
            </w:r>
            <w:r>
              <w:t xml:space="preserve"> </w:t>
            </w:r>
            <w:r>
              <w:rPr>
                <w:rFonts w:hint="eastAsia" w:ascii="宋体" w:hAnsi="宋体"/>
              </w:rPr>
              <w:t>年  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bookmarkStart w:id="3" w:name="_GoBack"/>
            <w:bookmarkEnd w:id="3"/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审查组长： 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 年  月 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</w:rPr>
              <w:t>年   月 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A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24E51AEB"/>
    <w:rsid w:val="3B036DD5"/>
    <w:rsid w:val="46267568"/>
    <w:rsid w:val="52D33772"/>
    <w:rsid w:val="5DBB4256"/>
    <w:rsid w:val="64D3092D"/>
    <w:rsid w:val="73D97C63"/>
    <w:rsid w:val="777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696</Characters>
  <Lines>9</Lines>
  <Paragraphs>2</Paragraphs>
  <TotalTime>0</TotalTime>
  <ScaleCrop>false</ScaleCrop>
  <LinksUpToDate>false</LinksUpToDate>
  <CharactersWithSpaces>1160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叶子</cp:lastModifiedBy>
  <dcterms:modified xsi:type="dcterms:W3CDTF">2021-12-23T04:00:04Z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7A6D6C5F91C5464A81F1AB7FD95D8CC2</vt:lpwstr>
  </property>
</Properties>
</file>