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rPr>
          <w:rFonts w:hint="eastAsia"/>
        </w:rPr>
        <w:drawing>
          <wp:anchor distT="0" distB="0" distL="114300" distR="114300" simplePos="0" relativeHeight="251659264" behindDoc="0" locked="0" layoutInCell="1" allowOverlap="1">
            <wp:simplePos x="0" y="0"/>
            <wp:positionH relativeFrom="column">
              <wp:posOffset>1898650</wp:posOffset>
            </wp:positionH>
            <wp:positionV relativeFrom="paragraph">
              <wp:posOffset>17780</wp:posOffset>
            </wp:positionV>
            <wp:extent cx="1590675" cy="1590675"/>
            <wp:effectExtent l="0" t="0" r="9525" b="9525"/>
            <wp:wrapNone/>
            <wp:docPr id="5" name="图片 3" descr="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新LOGO"/>
                    <pic:cNvPicPr>
                      <a:picLocks noChangeAspect="1"/>
                    </pic:cNvPicPr>
                  </pic:nvPicPr>
                  <pic:blipFill>
                    <a:blip r:embed="rId5"/>
                    <a:stretch>
                      <a:fillRect/>
                    </a:stretch>
                  </pic:blipFill>
                  <pic:spPr>
                    <a:xfrm>
                      <a:off x="0" y="0"/>
                      <a:ext cx="1590675" cy="1590675"/>
                    </a:xfrm>
                    <a:prstGeom prst="rect">
                      <a:avLst/>
                    </a:prstGeom>
                    <a:noFill/>
                    <a:ln>
                      <a:noFill/>
                    </a:ln>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ind w:firstLine="960" w:firstLineChars="300"/>
        <w:jc w:val="left"/>
        <w:rPr>
          <w:rFonts w:hint="eastAsia" w:ascii="宋体" w:hAnsi="宋体" w:eastAsiaTheme="minorEastAsia"/>
          <w:b w:val="0"/>
          <w:bCs w:val="0"/>
          <w:sz w:val="24"/>
          <w:szCs w:val="24"/>
          <w:u w:val="single"/>
          <w:lang w:eastAsia="zh-CN"/>
        </w:rPr>
      </w:pPr>
      <w:r>
        <w:rPr>
          <w:rFonts w:hint="eastAsia" w:ascii="宋体" w:hAnsi="宋体"/>
          <w:sz w:val="32"/>
        </w:rPr>
        <w:t>认 证 企 业</w:t>
      </w:r>
      <w:r>
        <w:rPr>
          <w:rFonts w:hint="eastAsia" w:ascii="MS PGothic" w:hAnsi="MS PGothic"/>
          <w:sz w:val="32"/>
        </w:rPr>
        <w:t>：</w:t>
      </w:r>
      <w:r>
        <w:rPr>
          <w:rFonts w:hint="eastAsia" w:ascii="宋体" w:hAnsi="宋体"/>
          <w:b w:val="0"/>
          <w:bCs w:val="0"/>
          <w:sz w:val="24"/>
          <w:szCs w:val="24"/>
          <w:u w:val="single"/>
          <w:lang w:eastAsia="zh-CN"/>
        </w:rPr>
        <w:t>东营市远信电器与技术有限责任公司</w:t>
      </w:r>
    </w:p>
    <w:p>
      <w:pPr>
        <w:spacing w:line="360" w:lineRule="auto"/>
        <w:ind w:firstLine="960" w:firstLineChars="200"/>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1" w:name="合同编号"/>
      <w:r>
        <w:rPr>
          <w:rFonts w:hint="eastAsia" w:ascii="宋体" w:hAnsi="宋体"/>
          <w:sz w:val="32"/>
          <w:u w:val="single"/>
          <w:lang w:val="en-US" w:eastAsia="zh-CN"/>
        </w:rPr>
        <w:t>0257</w:t>
      </w:r>
      <w:r>
        <w:rPr>
          <w:rFonts w:hint="eastAsia" w:ascii="宋体" w:hAnsi="宋体"/>
          <w:sz w:val="32"/>
          <w:u w:val="single"/>
        </w:rPr>
        <w:t>-2</w:t>
      </w:r>
      <w:r>
        <w:rPr>
          <w:rFonts w:hint="eastAsia" w:ascii="宋体" w:hAnsi="宋体"/>
          <w:sz w:val="32"/>
          <w:u w:val="single"/>
          <w:lang w:val="en-US" w:eastAsia="zh-CN"/>
        </w:rPr>
        <w:t>019</w:t>
      </w:r>
      <w:r>
        <w:rPr>
          <w:rFonts w:hint="eastAsia" w:ascii="宋体" w:hAnsi="宋体"/>
          <w:sz w:val="32"/>
          <w:u w:val="single"/>
        </w:rPr>
        <w:t>-2021</w:t>
      </w:r>
      <w:bookmarkEnd w:id="1"/>
    </w:p>
    <w:p>
      <w:pPr>
        <w:spacing w:line="360" w:lineRule="auto"/>
        <w:ind w:firstLine="960" w:firstLineChars="200"/>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2" w:name="合同编号Add"/>
      <w:r>
        <w:rPr>
          <w:rFonts w:ascii="Times New Roman" w:hAnsi="Times New Roman" w:eastAsia="宋体" w:cs="Times New Roman"/>
          <w:bCs/>
          <w:kern w:val="0"/>
          <w:sz w:val="18"/>
          <w:szCs w:val="18"/>
          <w:u w:val="single"/>
        </w:rPr>
        <w:t>0</w:t>
      </w:r>
      <w:r>
        <w:rPr>
          <w:rFonts w:hint="eastAsia" w:ascii="Times New Roman" w:hAnsi="Times New Roman" w:eastAsia="宋体" w:cs="Times New Roman"/>
          <w:bCs/>
          <w:kern w:val="0"/>
          <w:sz w:val="18"/>
          <w:szCs w:val="18"/>
          <w:u w:val="single"/>
          <w:lang w:val="en-US" w:eastAsia="zh-CN"/>
        </w:rPr>
        <w:t>257</w:t>
      </w:r>
      <w:r>
        <w:rPr>
          <w:rFonts w:ascii="Times New Roman" w:hAnsi="Times New Roman" w:eastAsia="宋体" w:cs="Times New Roman"/>
          <w:bCs/>
          <w:kern w:val="0"/>
          <w:sz w:val="18"/>
          <w:szCs w:val="18"/>
          <w:u w:val="single"/>
        </w:rPr>
        <w:t>-20</w:t>
      </w:r>
      <w:r>
        <w:rPr>
          <w:rFonts w:hint="eastAsia" w:ascii="Times New Roman" w:hAnsi="Times New Roman" w:eastAsia="宋体" w:cs="Times New Roman"/>
          <w:bCs/>
          <w:kern w:val="0"/>
          <w:sz w:val="18"/>
          <w:szCs w:val="18"/>
          <w:u w:val="single"/>
          <w:lang w:val="en-US" w:eastAsia="zh-CN"/>
        </w:rPr>
        <w:t>19</w:t>
      </w:r>
      <w:r>
        <w:rPr>
          <w:rFonts w:ascii="Times New Roman" w:hAnsi="Times New Roman" w:eastAsia="宋体" w:cs="Times New Roman"/>
          <w:bCs/>
          <w:kern w:val="0"/>
          <w:sz w:val="18"/>
          <w:szCs w:val="18"/>
          <w:u w:val="single"/>
        </w:rPr>
        <w:t>-2021</w:t>
      </w:r>
      <w:bookmarkEnd w:id="2"/>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3825"/>
        <w:gridCol w:w="1800"/>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75" w:type="dxa"/>
            <w:vAlign w:val="center"/>
          </w:tcPr>
          <w:p>
            <w:pPr>
              <w:tabs>
                <w:tab w:val="left" w:pos="880"/>
              </w:tabs>
              <w:autoSpaceDE w:val="0"/>
              <w:autoSpaceDN w:val="0"/>
              <w:adjustRightInd w:val="0"/>
              <w:spacing w:before="35" w:line="360" w:lineRule="exact"/>
              <w:ind w:right="161"/>
              <w:jc w:val="center"/>
              <w:rPr>
                <w:rFonts w:cs="宋体" w:asciiTheme="minorEastAsia" w:hAnsiTheme="minorEastAsia"/>
                <w:kern w:val="0"/>
                <w:sz w:val="21"/>
                <w:szCs w:val="21"/>
              </w:rPr>
            </w:pPr>
            <w:r>
              <w:rPr>
                <w:rFonts w:hint="eastAsia" w:cs="宋体" w:asciiTheme="minorEastAsia" w:hAnsiTheme="minorEastAsia"/>
                <w:bCs/>
                <w:kern w:val="0"/>
                <w:sz w:val="21"/>
                <w:szCs w:val="21"/>
              </w:rPr>
              <w:t>企业</w:t>
            </w:r>
            <w:r>
              <w:rPr>
                <w:rFonts w:cs="宋体" w:asciiTheme="minorEastAsia" w:hAnsiTheme="minorEastAsia"/>
                <w:kern w:val="0"/>
                <w:sz w:val="21"/>
                <w:szCs w:val="21"/>
              </w:rPr>
              <w:t>名称</w:t>
            </w:r>
          </w:p>
        </w:tc>
        <w:tc>
          <w:tcPr>
            <w:tcW w:w="3825" w:type="dxa"/>
            <w:vAlign w:val="center"/>
          </w:tcPr>
          <w:p>
            <w:pPr>
              <w:tabs>
                <w:tab w:val="left" w:pos="880"/>
              </w:tabs>
              <w:autoSpaceDE w:val="0"/>
              <w:autoSpaceDN w:val="0"/>
              <w:adjustRightInd w:val="0"/>
              <w:spacing w:before="35" w:line="360" w:lineRule="exact"/>
              <w:ind w:right="161"/>
              <w:rPr>
                <w:rFonts w:hint="eastAsia" w:cs="宋体" w:asciiTheme="minorEastAsia" w:hAnsiTheme="minorEastAsia" w:eastAsiaTheme="minorEastAsia"/>
                <w:kern w:val="0"/>
                <w:sz w:val="21"/>
                <w:szCs w:val="21"/>
                <w:lang w:eastAsia="zh-CN"/>
              </w:rPr>
            </w:pPr>
            <w:r>
              <w:rPr>
                <w:rFonts w:hint="eastAsia" w:ascii="Times New Roman" w:hAnsi="Times New Roman" w:eastAsia="宋体" w:cs="Times New Roman"/>
                <w:color w:val="000000"/>
                <w:sz w:val="21"/>
                <w:szCs w:val="21"/>
                <w:lang w:eastAsia="zh-CN"/>
              </w:rPr>
              <w:t>东营市远信电器与技术有限责任公司</w:t>
            </w:r>
          </w:p>
        </w:tc>
        <w:tc>
          <w:tcPr>
            <w:tcW w:w="1800" w:type="dxa"/>
            <w:vAlign w:val="center"/>
          </w:tcPr>
          <w:p>
            <w:pPr>
              <w:tabs>
                <w:tab w:val="left" w:pos="880"/>
              </w:tabs>
              <w:autoSpaceDE w:val="0"/>
              <w:autoSpaceDN w:val="0"/>
              <w:adjustRightInd w:val="0"/>
              <w:spacing w:before="35" w:line="360" w:lineRule="exact"/>
              <w:ind w:right="161"/>
              <w:rPr>
                <w:rFonts w:cs="宋体" w:asciiTheme="minorEastAsia" w:hAnsiTheme="minorEastAsia"/>
                <w:kern w:val="0"/>
                <w:sz w:val="21"/>
                <w:szCs w:val="21"/>
              </w:rPr>
            </w:pPr>
            <w:r>
              <w:rPr>
                <w:rFonts w:hint="eastAsia" w:cs="宋体" w:asciiTheme="minorEastAsia" w:hAnsiTheme="minorEastAsia"/>
                <w:kern w:val="0"/>
                <w:sz w:val="21"/>
                <w:szCs w:val="21"/>
              </w:rPr>
              <w:t>企业联系人</w:t>
            </w:r>
          </w:p>
        </w:tc>
        <w:tc>
          <w:tcPr>
            <w:tcW w:w="2069" w:type="dxa"/>
            <w:vAlign w:val="center"/>
          </w:tcPr>
          <w:p>
            <w:pPr>
              <w:tabs>
                <w:tab w:val="left" w:pos="880"/>
              </w:tabs>
              <w:autoSpaceDE w:val="0"/>
              <w:autoSpaceDN w:val="0"/>
              <w:adjustRightInd w:val="0"/>
              <w:spacing w:before="35" w:line="360" w:lineRule="exact"/>
              <w:ind w:right="161"/>
              <w:jc w:val="both"/>
              <w:rPr>
                <w:rFonts w:hint="eastAsia" w:cs="宋体" w:asciiTheme="minorEastAsia" w:hAnsiTheme="minorEastAsia" w:eastAsiaTheme="minorEastAsia"/>
                <w:kern w:val="0"/>
                <w:sz w:val="21"/>
                <w:szCs w:val="21"/>
                <w:lang w:val="en-US" w:eastAsia="zh-CN"/>
              </w:rPr>
            </w:pPr>
            <w:r>
              <w:rPr>
                <w:rFonts w:hint="eastAsia" w:cs="宋体" w:asciiTheme="minorEastAsia" w:hAnsiTheme="minorEastAsia"/>
                <w:kern w:val="0"/>
                <w:sz w:val="21"/>
                <w:szCs w:val="21"/>
                <w:lang w:val="en-US" w:eastAsia="zh-CN"/>
              </w:rPr>
              <w:t>张文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875" w:type="dxa"/>
            <w:vAlign w:val="center"/>
          </w:tcPr>
          <w:p>
            <w:pPr>
              <w:tabs>
                <w:tab w:val="left" w:pos="880"/>
              </w:tabs>
              <w:autoSpaceDE w:val="0"/>
              <w:autoSpaceDN w:val="0"/>
              <w:adjustRightInd w:val="0"/>
              <w:spacing w:before="35" w:line="360" w:lineRule="exact"/>
              <w:ind w:right="161"/>
              <w:rPr>
                <w:rFonts w:cs="宋体" w:asciiTheme="minorEastAsia" w:hAnsiTheme="minorEastAsia"/>
                <w:kern w:val="0"/>
                <w:sz w:val="21"/>
                <w:szCs w:val="21"/>
              </w:rPr>
            </w:pPr>
            <w:r>
              <w:rPr>
                <w:rFonts w:hint="eastAsia" w:cs="宋体" w:asciiTheme="minorEastAsia" w:hAnsiTheme="minorEastAsia"/>
                <w:kern w:val="0"/>
                <w:sz w:val="21"/>
                <w:szCs w:val="21"/>
              </w:rPr>
              <w:t>认证证书编号</w:t>
            </w:r>
          </w:p>
        </w:tc>
        <w:tc>
          <w:tcPr>
            <w:tcW w:w="3825" w:type="dxa"/>
            <w:vAlign w:val="top"/>
          </w:tcPr>
          <w:p>
            <w:pPr>
              <w:tabs>
                <w:tab w:val="left" w:pos="880"/>
              </w:tabs>
              <w:autoSpaceDE w:val="0"/>
              <w:autoSpaceDN w:val="0"/>
              <w:adjustRightInd w:val="0"/>
              <w:spacing w:before="35" w:line="276" w:lineRule="auto"/>
              <w:ind w:right="161" w:rightChars="0"/>
              <w:rPr>
                <w:rFonts w:hint="default" w:asciiTheme="minorEastAsia" w:hAnsiTheme="minorEastAsia" w:eastAsiaTheme="minorEastAsia"/>
                <w:sz w:val="21"/>
                <w:szCs w:val="21"/>
                <w:highlight w:val="none"/>
                <w:lang w:val="en-US" w:eastAsia="zh-CN"/>
              </w:rPr>
            </w:pPr>
            <w:r>
              <w:rPr>
                <w:rFonts w:hint="eastAsia" w:ascii="宋体" w:hAnsi="宋体" w:cs="宋体"/>
                <w:kern w:val="0"/>
                <w:szCs w:val="21"/>
                <w:highlight w:val="none"/>
                <w:shd w:val="clear" w:color="auto" w:fill="auto"/>
                <w:lang w:val="en-US" w:eastAsia="zh-CN"/>
              </w:rPr>
              <w:t>ISC-2019-0607</w:t>
            </w:r>
          </w:p>
        </w:tc>
        <w:tc>
          <w:tcPr>
            <w:tcW w:w="1800" w:type="dxa"/>
            <w:vAlign w:val="top"/>
          </w:tcPr>
          <w:p>
            <w:pPr>
              <w:tabs>
                <w:tab w:val="left" w:pos="880"/>
              </w:tabs>
              <w:autoSpaceDE w:val="0"/>
              <w:autoSpaceDN w:val="0"/>
              <w:adjustRightInd w:val="0"/>
              <w:spacing w:before="35" w:line="276" w:lineRule="auto"/>
              <w:ind w:right="161" w:rightChars="0"/>
              <w:rPr>
                <w:rFonts w:cs="宋体" w:asciiTheme="minorEastAsia" w:hAnsiTheme="minorEastAsia"/>
                <w:kern w:val="0"/>
                <w:sz w:val="21"/>
                <w:szCs w:val="21"/>
                <w:highlight w:val="none"/>
              </w:rPr>
            </w:pPr>
            <w:r>
              <w:rPr>
                <w:rFonts w:hint="eastAsia" w:cs="宋体" w:asciiTheme="minorEastAsia" w:hAnsiTheme="minorEastAsia"/>
                <w:kern w:val="0"/>
                <w:sz w:val="21"/>
                <w:szCs w:val="21"/>
                <w:highlight w:val="none"/>
              </w:rPr>
              <w:t>证书有效期</w:t>
            </w:r>
          </w:p>
        </w:tc>
        <w:tc>
          <w:tcPr>
            <w:tcW w:w="2069" w:type="dxa"/>
            <w:vAlign w:val="top"/>
          </w:tcPr>
          <w:p>
            <w:pPr>
              <w:tabs>
                <w:tab w:val="left" w:pos="880"/>
              </w:tabs>
              <w:autoSpaceDE w:val="0"/>
              <w:autoSpaceDN w:val="0"/>
              <w:adjustRightInd w:val="0"/>
              <w:spacing w:before="35" w:line="360" w:lineRule="auto"/>
              <w:ind w:right="161" w:rightChars="0"/>
              <w:rPr>
                <w:rFonts w:hint="default" w:cs="宋体" w:asciiTheme="minorEastAsia" w:hAnsiTheme="minorEastAsia"/>
                <w:kern w:val="0"/>
                <w:sz w:val="21"/>
                <w:szCs w:val="21"/>
                <w:highlight w:val="red"/>
                <w:lang w:val="en-US"/>
              </w:rPr>
            </w:pPr>
            <w:r>
              <w:rPr>
                <w:rFonts w:hint="eastAsia" w:ascii="宋体" w:hAnsi="宋体" w:cs="宋体"/>
                <w:kern w:val="0"/>
                <w:szCs w:val="21"/>
                <w:shd w:val="clear" w:color="auto" w:fill="auto"/>
                <w:lang w:val="en-US" w:eastAsia="zh-CN"/>
              </w:rPr>
              <w:t>2024.12.25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pPr>
              <w:tabs>
                <w:tab w:val="left" w:pos="880"/>
              </w:tabs>
              <w:autoSpaceDE w:val="0"/>
              <w:autoSpaceDN w:val="0"/>
              <w:adjustRightInd w:val="0"/>
              <w:spacing w:before="35" w:line="360" w:lineRule="exact"/>
              <w:ind w:right="161"/>
              <w:rPr>
                <w:rFonts w:cs="宋体" w:asciiTheme="minorEastAsia" w:hAnsiTheme="minorEastAsia"/>
                <w:kern w:val="0"/>
                <w:sz w:val="21"/>
                <w:szCs w:val="21"/>
              </w:rPr>
            </w:pPr>
            <w:r>
              <w:rPr>
                <w:rFonts w:hint="eastAsia" w:cs="宋体" w:asciiTheme="minorEastAsia" w:hAnsiTheme="minorEastAsia"/>
                <w:kern w:val="0"/>
                <w:sz w:val="21"/>
                <w:szCs w:val="21"/>
              </w:rPr>
              <w:t>监督审核次数</w:t>
            </w:r>
          </w:p>
        </w:tc>
        <w:tc>
          <w:tcPr>
            <w:tcW w:w="3825" w:type="dxa"/>
            <w:vAlign w:val="center"/>
          </w:tcPr>
          <w:p>
            <w:pPr>
              <w:spacing w:line="360" w:lineRule="exact"/>
              <w:jc w:val="both"/>
              <w:rPr>
                <w:sz w:val="21"/>
                <w:szCs w:val="21"/>
              </w:rPr>
            </w:pPr>
            <w:r>
              <w:rPr>
                <w:rFonts w:hint="eastAsia"/>
                <w:sz w:val="21"/>
                <w:szCs w:val="21"/>
              </w:rPr>
              <w:t>第</w:t>
            </w:r>
            <w:r>
              <w:rPr>
                <w:rFonts w:hint="eastAsia"/>
                <w:sz w:val="21"/>
                <w:szCs w:val="21"/>
                <w:lang w:val="en-US" w:eastAsia="zh-CN"/>
              </w:rPr>
              <w:t>2</w:t>
            </w:r>
            <w:r>
              <w:rPr>
                <w:rFonts w:hint="eastAsia"/>
                <w:sz w:val="21"/>
                <w:szCs w:val="21"/>
              </w:rPr>
              <w:t>次监督审核</w:t>
            </w:r>
          </w:p>
        </w:tc>
        <w:tc>
          <w:tcPr>
            <w:tcW w:w="1800" w:type="dxa"/>
            <w:vAlign w:val="center"/>
          </w:tcPr>
          <w:p>
            <w:pPr>
              <w:tabs>
                <w:tab w:val="left" w:pos="880"/>
              </w:tabs>
              <w:autoSpaceDE w:val="0"/>
              <w:autoSpaceDN w:val="0"/>
              <w:adjustRightInd w:val="0"/>
              <w:spacing w:before="35" w:line="360" w:lineRule="exact"/>
              <w:ind w:right="161"/>
              <w:jc w:val="center"/>
              <w:rPr>
                <w:rFonts w:cs="宋体" w:asciiTheme="minorEastAsia" w:hAnsiTheme="minorEastAsia"/>
                <w:kern w:val="0"/>
                <w:sz w:val="21"/>
                <w:szCs w:val="21"/>
              </w:rPr>
            </w:pPr>
            <w:r>
              <w:rPr>
                <w:rFonts w:hint="eastAsia" w:cs="宋体" w:asciiTheme="minorEastAsia" w:hAnsiTheme="minorEastAsia"/>
                <w:kern w:val="0"/>
                <w:sz w:val="21"/>
                <w:szCs w:val="21"/>
              </w:rPr>
              <w:t>本次监督</w:t>
            </w:r>
          </w:p>
          <w:p>
            <w:pPr>
              <w:tabs>
                <w:tab w:val="left" w:pos="880"/>
              </w:tabs>
              <w:autoSpaceDE w:val="0"/>
              <w:autoSpaceDN w:val="0"/>
              <w:adjustRightInd w:val="0"/>
              <w:spacing w:before="35" w:line="360" w:lineRule="exact"/>
              <w:ind w:right="161"/>
              <w:jc w:val="center"/>
              <w:rPr>
                <w:rFonts w:cs="宋体" w:asciiTheme="minorEastAsia" w:hAnsiTheme="minorEastAsia"/>
                <w:kern w:val="0"/>
                <w:sz w:val="21"/>
                <w:szCs w:val="21"/>
              </w:rPr>
            </w:pPr>
            <w:r>
              <w:rPr>
                <w:rFonts w:cs="宋体" w:asciiTheme="minorEastAsia" w:hAnsiTheme="minorEastAsia"/>
                <w:color w:val="333333"/>
                <w:kern w:val="0"/>
                <w:sz w:val="21"/>
                <w:szCs w:val="21"/>
              </w:rPr>
              <w:t>时间</w:t>
            </w:r>
          </w:p>
        </w:tc>
        <w:tc>
          <w:tcPr>
            <w:tcW w:w="2069" w:type="dxa"/>
            <w:vAlign w:val="center"/>
          </w:tcPr>
          <w:p>
            <w:pPr>
              <w:tabs>
                <w:tab w:val="left" w:pos="880"/>
              </w:tabs>
              <w:autoSpaceDE w:val="0"/>
              <w:autoSpaceDN w:val="0"/>
              <w:adjustRightInd w:val="0"/>
              <w:spacing w:before="35" w:line="360" w:lineRule="exact"/>
              <w:ind w:right="161"/>
              <w:jc w:val="both"/>
              <w:rPr>
                <w:rFonts w:hint="eastAsia" w:cs="宋体" w:asciiTheme="minorEastAsia" w:hAnsiTheme="minorEastAsia" w:eastAsiaTheme="minorEastAsia"/>
                <w:kern w:val="0"/>
                <w:sz w:val="21"/>
                <w:szCs w:val="21"/>
                <w:lang w:eastAsia="zh-CN"/>
              </w:rPr>
            </w:pPr>
            <w:r>
              <w:rPr>
                <w:rFonts w:hint="eastAsia" w:cs="宋体" w:asciiTheme="minorEastAsia" w:hAnsiTheme="minorEastAsia"/>
                <w:kern w:val="0"/>
                <w:sz w:val="21"/>
                <w:szCs w:val="21"/>
              </w:rPr>
              <w:t>20</w:t>
            </w:r>
            <w:r>
              <w:rPr>
                <w:rFonts w:cs="宋体" w:asciiTheme="minorEastAsia" w:hAnsiTheme="minorEastAsia"/>
                <w:kern w:val="0"/>
                <w:sz w:val="21"/>
                <w:szCs w:val="21"/>
              </w:rPr>
              <w:t>2</w:t>
            </w:r>
            <w:r>
              <w:rPr>
                <w:rFonts w:hint="eastAsia" w:cs="宋体" w:asciiTheme="minorEastAsia" w:hAnsiTheme="minorEastAsia"/>
                <w:kern w:val="0"/>
                <w:sz w:val="21"/>
                <w:szCs w:val="21"/>
                <w:lang w:val="en-US" w:eastAsia="zh-CN"/>
              </w:rPr>
              <w:t>1</w:t>
            </w:r>
            <w:r>
              <w:rPr>
                <w:rFonts w:hint="eastAsia" w:cs="宋体" w:asciiTheme="minorEastAsia" w:hAnsiTheme="minorEastAsia"/>
                <w:kern w:val="0"/>
                <w:sz w:val="21"/>
                <w:szCs w:val="21"/>
              </w:rPr>
              <w:t>年</w:t>
            </w:r>
            <w:r>
              <w:rPr>
                <w:rFonts w:hint="eastAsia" w:cs="宋体" w:asciiTheme="minorEastAsia" w:hAnsiTheme="minorEastAsia"/>
                <w:kern w:val="0"/>
                <w:sz w:val="21"/>
                <w:szCs w:val="21"/>
                <w:lang w:val="en-US" w:eastAsia="zh-CN"/>
              </w:rPr>
              <w:t>12</w:t>
            </w:r>
            <w:r>
              <w:rPr>
                <w:rFonts w:hint="eastAsia" w:cs="宋体" w:asciiTheme="minorEastAsia" w:hAnsiTheme="minorEastAsia"/>
                <w:kern w:val="0"/>
                <w:sz w:val="21"/>
                <w:szCs w:val="21"/>
              </w:rPr>
              <w:t>月</w:t>
            </w:r>
            <w:r>
              <w:rPr>
                <w:rFonts w:hint="eastAsia" w:cs="宋体" w:asciiTheme="minorEastAsia" w:hAnsiTheme="minorEastAsia"/>
                <w:kern w:val="0"/>
                <w:sz w:val="21"/>
                <w:szCs w:val="21"/>
                <w:lang w:val="en-US" w:eastAsia="zh-CN"/>
              </w:rPr>
              <w:t>28日上午-29</w:t>
            </w:r>
            <w:r>
              <w:rPr>
                <w:rFonts w:hint="eastAsia" w:cs="宋体" w:asciiTheme="minorEastAsia" w:hAnsiTheme="minorEastAsia"/>
                <w:kern w:val="0"/>
                <w:sz w:val="21"/>
                <w:szCs w:val="21"/>
              </w:rPr>
              <w:t>日</w:t>
            </w:r>
            <w:r>
              <w:rPr>
                <w:rFonts w:hint="eastAsia" w:cs="宋体" w:asciiTheme="minorEastAsia" w:hAnsiTheme="minorEastAsia"/>
                <w:kern w:val="0"/>
                <w:sz w:val="21"/>
                <w:szCs w:val="21"/>
                <w:lang w:eastAsia="zh-CN"/>
              </w:rPr>
              <w:t>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875" w:type="dxa"/>
            <w:vAlign w:val="center"/>
          </w:tcPr>
          <w:p>
            <w:pPr>
              <w:tabs>
                <w:tab w:val="left" w:pos="880"/>
              </w:tabs>
              <w:autoSpaceDE w:val="0"/>
              <w:autoSpaceDN w:val="0"/>
              <w:adjustRightInd w:val="0"/>
              <w:spacing w:before="35" w:line="320" w:lineRule="exact"/>
              <w:ind w:right="161" w:firstLine="105" w:firstLineChars="50"/>
              <w:rPr>
                <w:rFonts w:cs="宋体" w:asciiTheme="minorEastAsia" w:hAnsiTheme="minorEastAsia"/>
                <w:kern w:val="0"/>
                <w:sz w:val="21"/>
                <w:szCs w:val="21"/>
              </w:rPr>
            </w:pPr>
            <w:r>
              <w:rPr>
                <w:rFonts w:hint="eastAsia" w:cs="宋体" w:asciiTheme="minorEastAsia" w:hAnsiTheme="minorEastAsia"/>
                <w:kern w:val="0"/>
                <w:sz w:val="21"/>
                <w:szCs w:val="21"/>
              </w:rPr>
              <w:t>监督审核员</w:t>
            </w:r>
          </w:p>
          <w:p>
            <w:pPr>
              <w:tabs>
                <w:tab w:val="left" w:pos="880"/>
              </w:tabs>
              <w:autoSpaceDE w:val="0"/>
              <w:autoSpaceDN w:val="0"/>
              <w:adjustRightInd w:val="0"/>
              <w:spacing w:before="35" w:line="320" w:lineRule="exact"/>
              <w:ind w:right="161" w:firstLine="105" w:firstLineChars="50"/>
              <w:rPr>
                <w:rFonts w:cs="宋体" w:asciiTheme="minorEastAsia" w:hAnsiTheme="minorEastAsia"/>
                <w:kern w:val="0"/>
                <w:sz w:val="21"/>
                <w:szCs w:val="21"/>
              </w:rPr>
            </w:pPr>
            <w:r>
              <w:rPr>
                <w:rFonts w:hint="eastAsia" w:cs="宋体" w:asciiTheme="minorEastAsia" w:hAnsiTheme="minorEastAsia"/>
                <w:kern w:val="0"/>
                <w:sz w:val="21"/>
                <w:szCs w:val="21"/>
              </w:rPr>
              <w:t>姓名及确认号</w:t>
            </w:r>
          </w:p>
        </w:tc>
        <w:tc>
          <w:tcPr>
            <w:tcW w:w="3825" w:type="dxa"/>
            <w:vAlign w:val="center"/>
          </w:tcPr>
          <w:p>
            <w:pPr>
              <w:spacing w:line="360" w:lineRule="exact"/>
              <w:jc w:val="both"/>
              <w:rPr>
                <w:rFonts w:hint="eastAsia" w:ascii="宋体" w:hAnsi="宋体" w:eastAsia="宋体" w:cs="宋体"/>
                <w:sz w:val="21"/>
                <w:szCs w:val="21"/>
              </w:rPr>
            </w:pPr>
            <w:r>
              <w:rPr>
                <w:rFonts w:hint="eastAsia" w:ascii="宋体" w:hAnsi="宋体" w:eastAsia="宋体" w:cs="宋体"/>
                <w:sz w:val="21"/>
                <w:szCs w:val="21"/>
                <w:lang w:eastAsia="zh-CN"/>
              </w:rPr>
              <w:t>姜</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丽</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2021-M1MMS-2274284</w:t>
            </w:r>
          </w:p>
          <w:p>
            <w:pPr>
              <w:tabs>
                <w:tab w:val="left" w:pos="880"/>
              </w:tabs>
              <w:autoSpaceDE w:val="0"/>
              <w:autoSpaceDN w:val="0"/>
              <w:adjustRightInd w:val="0"/>
              <w:spacing w:before="35" w:line="320" w:lineRule="exact"/>
              <w:ind w:left="630" w:right="161" w:hanging="630" w:hangingChars="300"/>
              <w:jc w:val="left"/>
              <w:rPr>
                <w:rFonts w:cs="宋体" w:asciiTheme="minorEastAsia" w:hAnsiTheme="minorEastAsia"/>
                <w:kern w:val="0"/>
                <w:sz w:val="21"/>
                <w:szCs w:val="21"/>
              </w:rPr>
            </w:pPr>
          </w:p>
        </w:tc>
        <w:tc>
          <w:tcPr>
            <w:tcW w:w="1800" w:type="dxa"/>
            <w:vAlign w:val="center"/>
          </w:tcPr>
          <w:p>
            <w:pPr>
              <w:tabs>
                <w:tab w:val="left" w:pos="880"/>
              </w:tabs>
              <w:autoSpaceDE w:val="0"/>
              <w:autoSpaceDN w:val="0"/>
              <w:adjustRightInd w:val="0"/>
              <w:spacing w:before="35" w:line="320" w:lineRule="exact"/>
              <w:ind w:right="161"/>
              <w:jc w:val="center"/>
              <w:rPr>
                <w:rFonts w:cs="宋体" w:asciiTheme="minorEastAsia" w:hAnsiTheme="minorEastAsia"/>
                <w:kern w:val="0"/>
                <w:sz w:val="21"/>
                <w:szCs w:val="21"/>
              </w:rPr>
            </w:pPr>
            <w:r>
              <w:rPr>
                <w:rFonts w:cs="宋体" w:asciiTheme="minorEastAsia" w:hAnsiTheme="minorEastAsia"/>
                <w:bCs/>
                <w:kern w:val="0"/>
                <w:sz w:val="21"/>
                <w:szCs w:val="21"/>
              </w:rPr>
              <w:t>监督审核涉及的区域或部门</w:t>
            </w:r>
          </w:p>
        </w:tc>
        <w:tc>
          <w:tcPr>
            <w:tcW w:w="2069" w:type="dxa"/>
            <w:vAlign w:val="center"/>
          </w:tcPr>
          <w:p>
            <w:pPr>
              <w:jc w:val="center"/>
              <w:rPr>
                <w:rFonts w:hint="eastAsia" w:ascii="宋体" w:hAnsi="宋体" w:cs="宋体" w:eastAsiaTheme="minorEastAsia"/>
                <w:bCs/>
                <w:szCs w:val="21"/>
                <w:lang w:eastAsia="zh-CN"/>
              </w:rPr>
            </w:pPr>
            <w:r>
              <w:rPr>
                <w:rFonts w:hint="eastAsia" w:ascii="宋体" w:hAnsi="宋体" w:eastAsia="宋体" w:cs="宋体"/>
                <w:bCs/>
                <w:sz w:val="21"/>
                <w:szCs w:val="21"/>
                <w:lang w:val="en-US" w:eastAsia="zh-CN"/>
              </w:rPr>
              <w:t xml:space="preserve"> </w:t>
            </w:r>
            <w:r>
              <w:rPr>
                <w:rFonts w:hint="eastAsia" w:cs="宋体" w:asciiTheme="minorEastAsia" w:hAnsiTheme="minorEastAsia"/>
                <w:kern w:val="0"/>
                <w:szCs w:val="21"/>
              </w:rPr>
              <w:t>办公室、生产部、供销部、财务部</w:t>
            </w:r>
          </w:p>
          <w:p>
            <w:pPr>
              <w:ind w:left="210" w:hanging="210" w:hangingChars="100"/>
              <w:rPr>
                <w:rFonts w:ascii="宋体" w:hAnsi="宋体" w:eastAsia="宋体" w:cs="Times New Roman"/>
                <w:bCs/>
                <w:sz w:val="21"/>
                <w:szCs w:val="21"/>
              </w:rPr>
            </w:pP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rPr>
          <w:rFonts w:ascii="宋体" w:cs="宋体"/>
          <w:bCs/>
          <w:kern w:val="0"/>
          <w:szCs w:val="21"/>
        </w:rPr>
      </w:pPr>
      <w:r>
        <w:rPr>
          <w:rFonts w:ascii="宋体" w:hAnsi="宋体" w:cs="宋体"/>
          <w:bCs/>
          <w:kern w:val="0"/>
          <w:szCs w:val="21"/>
        </w:rPr>
        <w:t>1.</w:t>
      </w:r>
      <w:r>
        <w:rPr>
          <w:rFonts w:hint="eastAsia" w:ascii="宋体" w:hAnsi="宋体" w:cs="宋体"/>
          <w:bCs/>
          <w:kern w:val="0"/>
          <w:szCs w:val="21"/>
        </w:rPr>
        <w:t>一年内违反法律法规或重大事故的情况：</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一年内，公司日常运行中生产、经营、安全、销售及管理方面，比去年都有</w:t>
      </w:r>
      <w:r>
        <w:rPr>
          <w:rFonts w:hint="eastAsia" w:ascii="宋体" w:hAnsi="宋体" w:cs="宋体"/>
          <w:bCs/>
          <w:kern w:val="0"/>
          <w:szCs w:val="21"/>
          <w:lang w:val="en-US" w:eastAsia="zh-CN"/>
        </w:rPr>
        <w:t>很大的</w:t>
      </w:r>
      <w:r>
        <w:rPr>
          <w:rFonts w:hint="eastAsia" w:ascii="宋体" w:hAnsi="宋体" w:cs="宋体"/>
          <w:bCs/>
          <w:kern w:val="0"/>
          <w:szCs w:val="21"/>
        </w:rPr>
        <w:t>提升，未见违反法律、法规问题或重大质量事故发生。</w:t>
      </w:r>
    </w:p>
    <w:p>
      <w:pPr>
        <w:widowControl/>
        <w:spacing w:line="360" w:lineRule="auto"/>
        <w:rPr>
          <w:rFonts w:ascii="宋体" w:cs="宋体"/>
          <w:bCs/>
          <w:kern w:val="0"/>
          <w:szCs w:val="21"/>
        </w:rPr>
      </w:pPr>
      <w:r>
        <w:rPr>
          <w:rFonts w:ascii="宋体" w:hAnsi="宋体" w:cs="宋体"/>
          <w:bCs/>
          <w:kern w:val="0"/>
          <w:szCs w:val="21"/>
        </w:rPr>
        <w:t>2.</w:t>
      </w:r>
      <w:r>
        <w:rPr>
          <w:rFonts w:hint="eastAsia" w:ascii="宋体" w:hAnsi="宋体" w:cs="宋体"/>
          <w:bCs/>
          <w:kern w:val="0"/>
          <w:szCs w:val="21"/>
        </w:rPr>
        <w:t>监督审核过程简述：</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为有效评价公司测量管理体系</w:t>
      </w:r>
      <w:r>
        <w:rPr>
          <w:rFonts w:hint="eastAsia" w:ascii="宋体" w:hAnsi="宋体" w:cs="宋体"/>
          <w:bCs/>
          <w:kern w:val="0"/>
          <w:szCs w:val="21"/>
          <w:lang w:eastAsia="zh-CN"/>
        </w:rPr>
        <w:t>运行监督</w:t>
      </w:r>
      <w:r>
        <w:rPr>
          <w:rFonts w:hint="eastAsia" w:ascii="宋体" w:hAnsi="宋体" w:cs="宋体"/>
          <w:bCs/>
          <w:kern w:val="0"/>
          <w:szCs w:val="21"/>
        </w:rPr>
        <w:t>后一年以来</w:t>
      </w:r>
      <w:r>
        <w:rPr>
          <w:rFonts w:hint="eastAsia" w:ascii="宋体" w:hAnsi="宋体" w:cs="宋体"/>
          <w:bCs/>
          <w:kern w:val="0"/>
          <w:szCs w:val="21"/>
          <w:lang w:val="en-US" w:eastAsia="zh-CN"/>
        </w:rPr>
        <w:t>的</w:t>
      </w:r>
      <w:r>
        <w:rPr>
          <w:rFonts w:hint="eastAsia" w:ascii="宋体" w:hAnsi="宋体" w:cs="宋体"/>
          <w:bCs/>
          <w:kern w:val="0"/>
          <w:szCs w:val="21"/>
        </w:rPr>
        <w:t>运行情况，在</w:t>
      </w:r>
      <w:r>
        <w:rPr>
          <w:rFonts w:hint="eastAsia" w:ascii="宋体" w:hAnsi="宋体"/>
          <w:szCs w:val="21"/>
          <w:lang w:eastAsia="zh-CN"/>
        </w:rPr>
        <w:t>东营市远信电器与技术有限责任公司</w:t>
      </w:r>
      <w:r>
        <w:rPr>
          <w:rFonts w:hint="eastAsia" w:ascii="宋体" w:hAnsi="宋体" w:cs="宋体"/>
          <w:bCs/>
          <w:kern w:val="0"/>
          <w:szCs w:val="21"/>
        </w:rPr>
        <w:t>现场审核中，审核组抽样检查了涉及公司测量体系内的管理、生产、经营、质量和安全等方面的</w:t>
      </w:r>
      <w:r>
        <w:rPr>
          <w:rFonts w:hint="eastAsia" w:ascii="宋体" w:hAnsi="宋体" w:cs="宋体"/>
          <w:bCs/>
          <w:kern w:val="0"/>
          <w:szCs w:val="21"/>
          <w:lang w:val="en-US" w:eastAsia="zh-CN"/>
        </w:rPr>
        <w:t>4</w:t>
      </w:r>
      <w:r>
        <w:rPr>
          <w:rFonts w:hint="eastAsia" w:ascii="宋体" w:hAnsi="宋体" w:cs="宋体"/>
          <w:kern w:val="0"/>
          <w:szCs w:val="21"/>
        </w:rPr>
        <w:t>个</w:t>
      </w:r>
      <w:r>
        <w:rPr>
          <w:rFonts w:ascii="宋体" w:hAnsi="宋体" w:cs="宋体"/>
          <w:kern w:val="0"/>
          <w:szCs w:val="21"/>
        </w:rPr>
        <w:t>部门及</w:t>
      </w:r>
      <w:r>
        <w:rPr>
          <w:rFonts w:hint="eastAsia" w:ascii="宋体" w:hAnsi="宋体" w:cs="宋体"/>
          <w:kern w:val="0"/>
          <w:szCs w:val="21"/>
          <w:lang w:val="en-US" w:eastAsia="zh-CN"/>
        </w:rPr>
        <w:t>1作业区</w:t>
      </w:r>
      <w:r>
        <w:rPr>
          <w:rFonts w:hint="eastAsia" w:ascii="宋体" w:hAnsi="宋体" w:cs="宋体"/>
          <w:bCs/>
          <w:kern w:val="0"/>
          <w:szCs w:val="21"/>
        </w:rPr>
        <w:t>。重点核查环节有：原材料进厂检测、产品质量性能检验、出厂产品质量检测主要生产过程的测量控制、监视及测量设备量值溯源情况，同时，跟踪验证了该公司在获得测量管理体系认证后，对体系的运行监视、分析完善和持续改进等工作情况。公司测量管理体系正常有序运行，较好地满足了公司生产、安全和持续发展的需要。</w:t>
      </w:r>
    </w:p>
    <w:p>
      <w:pPr>
        <w:widowControl/>
        <w:spacing w:line="360" w:lineRule="auto"/>
        <w:rPr>
          <w:rFonts w:ascii="宋体" w:cs="宋体"/>
          <w:bCs/>
          <w:kern w:val="0"/>
          <w:szCs w:val="21"/>
        </w:rPr>
      </w:pPr>
      <w:r>
        <w:rPr>
          <w:rFonts w:ascii="宋体" w:hAnsi="宋体" w:cs="宋体"/>
          <w:bCs/>
          <w:kern w:val="0"/>
          <w:szCs w:val="21"/>
        </w:rPr>
        <w:t>3.</w:t>
      </w:r>
      <w:r>
        <w:rPr>
          <w:rFonts w:hint="eastAsia" w:ascii="宋体" w:hAnsi="宋体" w:cs="宋体"/>
          <w:bCs/>
          <w:kern w:val="0"/>
          <w:szCs w:val="21"/>
        </w:rPr>
        <w:t>内部审核和管理评审的情况：</w:t>
      </w:r>
    </w:p>
    <w:p>
      <w:pPr>
        <w:widowControl/>
        <w:spacing w:line="360" w:lineRule="auto"/>
        <w:ind w:firstLine="420" w:firstLineChars="200"/>
        <w:rPr>
          <w:rFonts w:hint="eastAsia" w:ascii="宋体" w:hAnsi="宋体" w:eastAsia="宋体" w:cs="宋体"/>
          <w:bCs/>
          <w:kern w:val="0"/>
          <w:szCs w:val="21"/>
          <w:lang w:eastAsia="zh-CN"/>
        </w:rPr>
      </w:pPr>
      <w:r>
        <w:rPr>
          <w:rFonts w:hint="eastAsia" w:ascii="宋体" w:hAnsi="宋体" w:cs="宋体"/>
          <w:bCs/>
          <w:kern w:val="0"/>
          <w:szCs w:val="21"/>
        </w:rPr>
        <w:t>3.1</w:t>
      </w:r>
      <w:r>
        <w:rPr>
          <w:rFonts w:ascii="Times New Roman" w:hAnsi="Times New Roman" w:cs="Times New Roman"/>
          <w:bCs/>
          <w:kern w:val="0"/>
          <w:szCs w:val="21"/>
          <w:highlight w:val="none"/>
        </w:rPr>
        <w:t>公司于</w:t>
      </w:r>
      <w:r>
        <w:rPr>
          <w:rFonts w:hint="eastAsia" w:ascii="Times New Roman" w:hAnsi="Times New Roman" w:cs="Times New Roman"/>
          <w:bCs/>
          <w:kern w:val="0"/>
          <w:szCs w:val="21"/>
          <w:highlight w:val="none"/>
          <w:lang w:val="en-US" w:eastAsia="zh-CN"/>
        </w:rPr>
        <w:t>2021</w:t>
      </w:r>
      <w:r>
        <w:rPr>
          <w:rFonts w:ascii="Times New Roman" w:hAnsi="Times New Roman" w:cs="Times New Roman"/>
          <w:bCs/>
          <w:kern w:val="0"/>
          <w:szCs w:val="21"/>
          <w:highlight w:val="none"/>
        </w:rPr>
        <w:t>年</w:t>
      </w:r>
      <w:r>
        <w:rPr>
          <w:rFonts w:hint="eastAsia" w:ascii="Times New Roman" w:hAnsi="Times New Roman" w:cs="Times New Roman"/>
          <w:bCs/>
          <w:kern w:val="0"/>
          <w:szCs w:val="21"/>
          <w:highlight w:val="none"/>
          <w:lang w:val="en-US" w:eastAsia="zh-CN"/>
        </w:rPr>
        <w:t>11月24-25</w:t>
      </w:r>
      <w:r>
        <w:rPr>
          <w:rFonts w:ascii="Times New Roman" w:hAnsi="Times New Roman" w:cs="Times New Roman"/>
          <w:bCs/>
          <w:kern w:val="0"/>
          <w:szCs w:val="21"/>
          <w:highlight w:val="none"/>
        </w:rPr>
        <w:t>月</w:t>
      </w:r>
      <w:r>
        <w:rPr>
          <w:rFonts w:hint="eastAsia" w:ascii="Times New Roman" w:hAnsi="Times New Roman" w:cs="Times New Roman"/>
          <w:bCs/>
          <w:kern w:val="0"/>
          <w:szCs w:val="21"/>
          <w:highlight w:val="none"/>
          <w:lang w:eastAsia="zh-CN"/>
        </w:rPr>
        <w:t>，</w:t>
      </w:r>
      <w:r>
        <w:rPr>
          <w:rFonts w:ascii="Times New Roman" w:hAnsi="Times New Roman" w:cs="Times New Roman"/>
          <w:bCs/>
          <w:kern w:val="0"/>
          <w:szCs w:val="21"/>
          <w:highlight w:val="none"/>
        </w:rPr>
        <w:t>组织了</w:t>
      </w:r>
      <w:r>
        <w:rPr>
          <w:rFonts w:hint="eastAsia" w:ascii="宋体" w:hAnsi="宋体" w:cs="宋体"/>
          <w:bCs/>
          <w:kern w:val="0"/>
          <w:szCs w:val="21"/>
        </w:rPr>
        <w:t>公司的测量</w:t>
      </w:r>
      <w:r>
        <w:rPr>
          <w:rFonts w:hint="eastAsia" w:ascii="宋体" w:hAnsi="宋体" w:cs="宋体"/>
          <w:bCs/>
          <w:kern w:val="0"/>
          <w:szCs w:val="21"/>
          <w:lang w:val="en-US" w:eastAsia="zh-CN"/>
        </w:rPr>
        <w:t>管理</w:t>
      </w:r>
      <w:r>
        <w:rPr>
          <w:rFonts w:hint="eastAsia" w:ascii="宋体" w:hAnsi="宋体" w:cs="宋体"/>
          <w:bCs/>
          <w:kern w:val="0"/>
          <w:szCs w:val="21"/>
        </w:rPr>
        <w:t>体系内审</w:t>
      </w:r>
      <w:r>
        <w:rPr>
          <w:rFonts w:hint="eastAsia" w:ascii="宋体" w:hAnsi="宋体" w:cs="宋体"/>
          <w:bCs/>
          <w:kern w:val="0"/>
          <w:szCs w:val="21"/>
          <w:lang w:eastAsia="zh-CN"/>
        </w:rPr>
        <w:t>。管理者代表代张文</w:t>
      </w:r>
      <w:r>
        <w:rPr>
          <w:rFonts w:hint="eastAsia" w:ascii="宋体" w:hAnsi="宋体" w:cs="宋体"/>
          <w:bCs/>
          <w:kern w:val="0"/>
          <w:szCs w:val="21"/>
          <w:highlight w:val="none"/>
          <w:lang w:eastAsia="zh-CN"/>
        </w:rPr>
        <w:t>组长组织</w:t>
      </w:r>
      <w:r>
        <w:rPr>
          <w:rFonts w:hint="eastAsia" w:ascii="宋体" w:hAnsi="宋体" w:cs="宋体"/>
          <w:bCs/>
          <w:kern w:val="0"/>
          <w:szCs w:val="21"/>
          <w:highlight w:val="none"/>
        </w:rPr>
        <w:t>审核。</w:t>
      </w:r>
      <w:r>
        <w:rPr>
          <w:rFonts w:hint="eastAsia" w:ascii="宋体" w:hAnsi="宋体" w:cs="宋体"/>
          <w:bCs/>
          <w:kern w:val="0"/>
          <w:szCs w:val="21"/>
          <w:highlight w:val="none"/>
          <w:lang w:val="en-US" w:eastAsia="zh-CN"/>
        </w:rPr>
        <w:t>1个</w:t>
      </w:r>
      <w:r>
        <w:rPr>
          <w:rFonts w:hint="eastAsia" w:ascii="宋体" w:hAnsi="宋体" w:cs="宋体"/>
          <w:bCs/>
          <w:kern w:val="0"/>
          <w:szCs w:val="21"/>
          <w:highlight w:val="none"/>
        </w:rPr>
        <w:t>内审组对公司包括管理</w:t>
      </w:r>
      <w:r>
        <w:rPr>
          <w:rFonts w:hint="eastAsia" w:ascii="宋体" w:hAnsi="宋体" w:cs="宋体"/>
          <w:bCs/>
          <w:kern w:val="0"/>
          <w:szCs w:val="21"/>
        </w:rPr>
        <w:t>层在内的</w:t>
      </w:r>
      <w:r>
        <w:rPr>
          <w:rFonts w:hint="eastAsia" w:ascii="宋体" w:hAnsi="宋体" w:cs="宋体"/>
          <w:bCs/>
          <w:kern w:val="0"/>
          <w:szCs w:val="21"/>
          <w:lang w:val="en-US" w:eastAsia="zh-CN"/>
        </w:rPr>
        <w:t>4</w:t>
      </w:r>
      <w:r>
        <w:rPr>
          <w:rFonts w:hint="eastAsia" w:ascii="宋体" w:hAnsi="宋体" w:cs="宋体"/>
          <w:kern w:val="0"/>
          <w:szCs w:val="21"/>
        </w:rPr>
        <w:t>个</w:t>
      </w:r>
      <w:r>
        <w:rPr>
          <w:rFonts w:ascii="宋体" w:hAnsi="宋体" w:cs="宋体"/>
          <w:kern w:val="0"/>
          <w:szCs w:val="21"/>
        </w:rPr>
        <w:t>部门及</w:t>
      </w:r>
      <w:r>
        <w:rPr>
          <w:rFonts w:hint="eastAsia" w:ascii="宋体" w:hAnsi="宋体" w:cs="宋体"/>
          <w:kern w:val="0"/>
          <w:szCs w:val="21"/>
          <w:lang w:val="en-US" w:eastAsia="zh-CN"/>
        </w:rPr>
        <w:t>1个作业区</w:t>
      </w:r>
      <w:r>
        <w:rPr>
          <w:rFonts w:ascii="宋体" w:hAnsi="宋体" w:cs="宋体"/>
          <w:kern w:val="0"/>
          <w:szCs w:val="21"/>
        </w:rPr>
        <w:t>组</w:t>
      </w:r>
      <w:r>
        <w:rPr>
          <w:rFonts w:hint="eastAsia" w:ascii="宋体" w:hAnsi="宋体" w:cs="宋体"/>
          <w:bCs/>
          <w:kern w:val="0"/>
          <w:szCs w:val="21"/>
        </w:rPr>
        <w:t>进行了全要素的审核。内部审核发现</w:t>
      </w:r>
      <w:r>
        <w:rPr>
          <w:rFonts w:hint="eastAsia" w:ascii="宋体" w:hAnsi="宋体" w:cs="宋体"/>
          <w:bCs/>
          <w:kern w:val="0"/>
          <w:szCs w:val="21"/>
          <w:lang w:val="en-US" w:eastAsia="zh-CN"/>
        </w:rPr>
        <w:t>1</w:t>
      </w:r>
      <w:r>
        <w:rPr>
          <w:rFonts w:hint="eastAsia" w:ascii="宋体" w:hAnsi="宋体" w:cs="宋体"/>
          <w:bCs/>
          <w:kern w:val="0"/>
          <w:szCs w:val="21"/>
        </w:rPr>
        <w:t>个不符合项，制定了相关的预防纠正措施，并在规定时间内，完成整改工作，不符合项已关闭。</w:t>
      </w:r>
    </w:p>
    <w:p>
      <w:pPr>
        <w:widowControl/>
        <w:spacing w:line="360" w:lineRule="auto"/>
        <w:rPr>
          <w:rFonts w:hint="eastAsia" w:ascii="宋体" w:hAnsi="宋体" w:cs="宋体"/>
          <w:bCs/>
          <w:kern w:val="0"/>
          <w:szCs w:val="21"/>
        </w:rPr>
      </w:pPr>
      <w:r>
        <w:rPr>
          <w:rFonts w:hint="eastAsia" w:ascii="宋体" w:hAnsi="宋体" w:cs="宋体"/>
          <w:bCs/>
          <w:kern w:val="0"/>
          <w:szCs w:val="21"/>
        </w:rPr>
        <w:t>3.2公司的测量体系管理评审：</w:t>
      </w:r>
    </w:p>
    <w:p>
      <w:pPr>
        <w:widowControl/>
        <w:spacing w:line="360" w:lineRule="auto"/>
        <w:ind w:firstLine="420" w:firstLineChars="200"/>
        <w:rPr>
          <w:rFonts w:ascii="宋体" w:cs="宋体"/>
          <w:bCs/>
          <w:kern w:val="0"/>
          <w:szCs w:val="21"/>
        </w:rPr>
      </w:pPr>
      <w:r>
        <w:rPr>
          <w:rFonts w:hint="eastAsia" w:ascii="宋体" w:hAnsi="宋体" w:cs="宋体"/>
          <w:bCs/>
          <w:kern w:val="0"/>
          <w:szCs w:val="21"/>
          <w:highlight w:val="none"/>
        </w:rPr>
        <w:t>公司于20</w:t>
      </w:r>
      <w:r>
        <w:rPr>
          <w:rFonts w:hint="eastAsia" w:ascii="宋体" w:hAnsi="宋体" w:cs="宋体"/>
          <w:bCs/>
          <w:kern w:val="0"/>
          <w:szCs w:val="21"/>
          <w:highlight w:val="none"/>
          <w:lang w:val="en-US" w:eastAsia="zh-CN"/>
        </w:rPr>
        <w:t>21</w:t>
      </w:r>
      <w:r>
        <w:rPr>
          <w:rFonts w:hint="eastAsia" w:ascii="宋体" w:hAnsi="宋体" w:cs="宋体"/>
          <w:bCs/>
          <w:kern w:val="0"/>
          <w:szCs w:val="21"/>
          <w:highlight w:val="none"/>
        </w:rPr>
        <w:t>年</w:t>
      </w:r>
      <w:r>
        <w:rPr>
          <w:rFonts w:hint="eastAsia" w:ascii="宋体" w:hAnsi="宋体" w:cs="宋体"/>
          <w:bCs/>
          <w:kern w:val="0"/>
          <w:szCs w:val="21"/>
          <w:highlight w:val="none"/>
          <w:lang w:val="en-US" w:eastAsia="zh-CN"/>
        </w:rPr>
        <w:t>12</w:t>
      </w:r>
      <w:r>
        <w:rPr>
          <w:rFonts w:hint="eastAsia" w:ascii="宋体" w:hAnsi="宋体" w:cs="宋体"/>
          <w:bCs/>
          <w:kern w:val="0"/>
          <w:szCs w:val="21"/>
          <w:highlight w:val="none"/>
        </w:rPr>
        <w:t>月</w:t>
      </w:r>
      <w:r>
        <w:rPr>
          <w:rFonts w:hint="eastAsia" w:ascii="宋体" w:hAnsi="宋体" w:cs="宋体"/>
          <w:bCs/>
          <w:kern w:val="0"/>
          <w:szCs w:val="21"/>
          <w:highlight w:val="none"/>
          <w:lang w:val="en-US" w:eastAsia="zh-CN"/>
        </w:rPr>
        <w:t>8</w:t>
      </w:r>
      <w:r>
        <w:rPr>
          <w:rFonts w:hint="eastAsia" w:ascii="宋体" w:hAnsi="宋体" w:cs="宋体"/>
          <w:bCs/>
          <w:kern w:val="0"/>
          <w:szCs w:val="21"/>
          <w:highlight w:val="none"/>
        </w:rPr>
        <w:t>日，开展了测量体系管理</w:t>
      </w:r>
      <w:r>
        <w:rPr>
          <w:rFonts w:hint="eastAsia" w:ascii="宋体" w:hAnsi="宋体" w:cs="宋体"/>
          <w:bCs/>
          <w:kern w:val="0"/>
          <w:szCs w:val="21"/>
          <w:highlight w:val="none"/>
          <w:lang w:eastAsia="zh-CN"/>
        </w:rPr>
        <w:t>管理</w:t>
      </w:r>
      <w:r>
        <w:rPr>
          <w:rFonts w:hint="eastAsia" w:ascii="宋体" w:hAnsi="宋体" w:cs="宋体"/>
          <w:bCs/>
          <w:kern w:val="0"/>
          <w:szCs w:val="21"/>
          <w:highlight w:val="none"/>
        </w:rPr>
        <w:t>评审，</w:t>
      </w:r>
      <w:r>
        <w:rPr>
          <w:bCs/>
          <w:szCs w:val="21"/>
          <w:highlight w:val="none"/>
        </w:rPr>
        <w:t>会议由企业总经理</w:t>
      </w:r>
      <w:r>
        <w:rPr>
          <w:rFonts w:hint="eastAsia"/>
          <w:bCs/>
          <w:szCs w:val="21"/>
          <w:highlight w:val="none"/>
          <w:lang w:eastAsia="zh-CN"/>
        </w:rPr>
        <w:t>刘学德主持，</w:t>
      </w:r>
      <w:r>
        <w:rPr>
          <w:szCs w:val="21"/>
          <w:highlight w:val="none"/>
        </w:rPr>
        <w:t>管理者代表</w:t>
      </w:r>
      <w:r>
        <w:rPr>
          <w:rFonts w:hint="eastAsia"/>
          <w:szCs w:val="21"/>
          <w:highlight w:val="none"/>
          <w:lang w:eastAsia="zh-CN"/>
        </w:rPr>
        <w:t>及</w:t>
      </w:r>
      <w:r>
        <w:rPr>
          <w:szCs w:val="21"/>
          <w:highlight w:val="none"/>
        </w:rPr>
        <w:t>各部门</w:t>
      </w:r>
      <w:r>
        <w:rPr>
          <w:bCs/>
          <w:szCs w:val="21"/>
          <w:highlight w:val="none"/>
        </w:rPr>
        <w:t>汇报了体系运行情况和部门工作完成情况。</w:t>
      </w:r>
      <w:r>
        <w:rPr>
          <w:rFonts w:hint="eastAsia" w:ascii="宋体" w:hAnsi="宋体" w:cs="宋体"/>
          <w:bCs/>
          <w:kern w:val="0"/>
          <w:szCs w:val="21"/>
          <w:highlight w:val="none"/>
        </w:rPr>
        <w:t>会上肯定了公司测量管理体系的充分性、有效性和适宜性。</w:t>
      </w:r>
      <w:r>
        <w:rPr>
          <w:rFonts w:hint="eastAsia" w:ascii="宋体" w:hAnsi="宋体" w:cs="宋体"/>
          <w:bCs/>
          <w:kern w:val="0"/>
          <w:szCs w:val="21"/>
        </w:rPr>
        <w:t>形成了管理评审报告。对公司测量管理体系中存在的</w:t>
      </w:r>
      <w:r>
        <w:rPr>
          <w:rFonts w:hint="eastAsia" w:ascii="宋体" w:hAnsi="宋体"/>
          <w:szCs w:val="21"/>
        </w:rPr>
        <w:t>计量器具</w:t>
      </w:r>
      <w:r>
        <w:rPr>
          <w:rFonts w:hint="eastAsia" w:ascii="宋体" w:hAnsi="宋体"/>
          <w:szCs w:val="21"/>
          <w:lang w:eastAsia="zh-CN"/>
        </w:rPr>
        <w:t>、</w:t>
      </w:r>
      <w:r>
        <w:rPr>
          <w:rFonts w:hint="eastAsia" w:ascii="宋体" w:hAnsi="宋体"/>
          <w:szCs w:val="21"/>
          <w:lang w:val="en-US" w:eastAsia="zh-CN"/>
        </w:rPr>
        <w:t>检验记录</w:t>
      </w:r>
      <w:r>
        <w:rPr>
          <w:rFonts w:hint="eastAsia" w:ascii="宋体" w:hAnsi="宋体"/>
          <w:szCs w:val="21"/>
        </w:rPr>
        <w:t>的管理上的薄弱环节</w:t>
      </w:r>
      <w:r>
        <w:rPr>
          <w:rFonts w:hint="eastAsia" w:ascii="宋体" w:hAnsi="宋体" w:cs="宋体"/>
          <w:bCs/>
          <w:kern w:val="0"/>
          <w:szCs w:val="21"/>
        </w:rPr>
        <w:t>，提出规范产品检验、检测记录</w:t>
      </w:r>
      <w:r>
        <w:rPr>
          <w:rFonts w:hint="eastAsia" w:ascii="宋体" w:hAnsi="宋体" w:cs="宋体"/>
          <w:bCs/>
          <w:kern w:val="0"/>
          <w:szCs w:val="21"/>
          <w:lang w:eastAsia="zh-CN"/>
        </w:rPr>
        <w:t>，</w:t>
      </w:r>
      <w:r>
        <w:rPr>
          <w:rFonts w:hint="eastAsia" w:ascii="宋体" w:hAnsi="宋体" w:cs="宋体"/>
          <w:bCs/>
          <w:kern w:val="0"/>
          <w:szCs w:val="21"/>
        </w:rPr>
        <w:t>加强</w:t>
      </w:r>
      <w:r>
        <w:rPr>
          <w:rFonts w:hint="eastAsia" w:ascii="宋体" w:hAnsi="宋体"/>
          <w:szCs w:val="21"/>
        </w:rPr>
        <w:t>计量器具的管理</w:t>
      </w:r>
      <w:r>
        <w:rPr>
          <w:rFonts w:hint="eastAsia" w:ascii="宋体" w:hAnsi="宋体" w:cs="宋体"/>
          <w:bCs/>
          <w:kern w:val="0"/>
          <w:szCs w:val="21"/>
        </w:rPr>
        <w:t>，做好人员培训工作问题，落实了整改部门。管理评审结论为：公司测量管理体系基本有效运行，符合</w:t>
      </w:r>
      <w:r>
        <w:rPr>
          <w:rFonts w:ascii="宋体" w:hAnsi="宋体" w:cs="宋体"/>
          <w:bCs/>
          <w:kern w:val="0"/>
          <w:szCs w:val="21"/>
        </w:rPr>
        <w:t>GB/T 19022-2003</w:t>
      </w:r>
      <w:r>
        <w:rPr>
          <w:rFonts w:hint="eastAsia" w:ascii="宋体" w:hAnsi="宋体" w:cs="宋体"/>
          <w:bCs/>
          <w:kern w:val="0"/>
          <w:szCs w:val="21"/>
        </w:rPr>
        <w:t>标准要求。</w:t>
      </w:r>
    </w:p>
    <w:p>
      <w:pPr>
        <w:widowControl/>
        <w:spacing w:line="360" w:lineRule="auto"/>
        <w:rPr>
          <w:rFonts w:ascii="宋体" w:cs="宋体"/>
          <w:bCs/>
          <w:kern w:val="0"/>
          <w:szCs w:val="21"/>
        </w:rPr>
      </w:pPr>
      <w:r>
        <w:rPr>
          <w:rFonts w:ascii="宋体" w:hAnsi="宋体" w:cs="宋体"/>
          <w:bCs/>
          <w:kern w:val="0"/>
          <w:szCs w:val="21"/>
        </w:rPr>
        <w:t>4.</w:t>
      </w:r>
      <w:r>
        <w:rPr>
          <w:rFonts w:hint="eastAsia" w:ascii="宋体" w:hAnsi="宋体" w:cs="宋体"/>
          <w:bCs/>
          <w:kern w:val="0"/>
          <w:szCs w:val="21"/>
        </w:rPr>
        <w:t>为持续改进而策划的活动的进展，包括：</w:t>
      </w:r>
    </w:p>
    <w:p>
      <w:pPr>
        <w:spacing w:line="360" w:lineRule="auto"/>
        <w:jc w:val="left"/>
        <w:rPr>
          <w:rFonts w:ascii="宋体" w:cs="宋体"/>
          <w:bCs/>
          <w:kern w:val="0"/>
          <w:szCs w:val="21"/>
        </w:rPr>
      </w:pPr>
      <w:r>
        <w:rPr>
          <w:rFonts w:ascii="宋体" w:hAnsi="宋体" w:cs="宋体"/>
          <w:bCs/>
          <w:kern w:val="0"/>
          <w:szCs w:val="21"/>
        </w:rPr>
        <w:t xml:space="preserve">4.1 </w:t>
      </w:r>
      <w:r>
        <w:rPr>
          <w:rFonts w:hint="eastAsia"/>
          <w:szCs w:val="21"/>
        </w:rPr>
        <w:t>该企业主要是</w:t>
      </w:r>
      <w:r>
        <w:rPr>
          <w:rFonts w:hint="eastAsia"/>
          <w:szCs w:val="21"/>
          <w:lang w:eastAsia="zh-CN"/>
        </w:rPr>
        <w:t>：</w:t>
      </w:r>
      <w:r>
        <w:rPr>
          <w:color w:val="000000"/>
          <w:szCs w:val="21"/>
        </w:rPr>
        <w:t>石油钻采机械配件(含石油钻采工矿配件)、泵配件的生产；冷冻机配件、风机配件、减速机配件、起重输送机械配件、球磨机配件、工业锅炉及辅机配件、汽轮机配件、液压件、日用电器及配件、绝缘材料、橡胶制品、塑料制品(不含医用)、吸油毡、毛毡、围油栏、防爆电伴热带及配件、干电池、蓄电池、办公自动化设备、电脑及耗材、计算机软硬件、耗材及辅助设备，网络科技电子产品、网络机柜、通讯器材(不含地面卫星接收及无线发射装置)、音响器材、监控器材、仪器仪表、高低压电器及成套设备、电力金具、消防设备、家具，照明器材、摄像器材、防爆器材及配件、电线电缆及附件、劳保用品、五金工具、灯具、建材、玻璃制品、阀门、管材管件、纸及纸制品、陶瓷洁县、土产杂品(不含烟花爆竹)、各种包装物、标示牌、帆布、帐篷、编织袋、环保设备、文体用品(不含书籍)、门窗、厨具、日用百货，金属材料及制品(含各种金属筛网)、汽车配件、柴油机配件的销售等</w:t>
      </w:r>
      <w:r>
        <w:rPr>
          <w:rFonts w:hint="eastAsia" w:ascii="宋体" w:hAnsi="宋体"/>
          <w:szCs w:val="21"/>
          <w:lang w:eastAsia="zh-CN"/>
        </w:rPr>
        <w:t>。生产部</w:t>
      </w:r>
      <w:r>
        <w:rPr>
          <w:rFonts w:ascii="Times New Roman" w:hAnsi="Times New Roman" w:cs="Times New Roman"/>
          <w:bCs/>
          <w:kern w:val="0"/>
          <w:szCs w:val="21"/>
        </w:rPr>
        <w:t>已组织识别</w:t>
      </w:r>
      <w:r>
        <w:rPr>
          <w:rFonts w:hint="eastAsia" w:ascii="Times New Roman" w:hAnsi="Times New Roman" w:cs="Times New Roman"/>
          <w:bCs/>
          <w:kern w:val="0"/>
          <w:szCs w:val="21"/>
          <w:lang w:eastAsia="zh-CN"/>
        </w:rPr>
        <w:t>：“</w:t>
      </w:r>
      <w:r>
        <w:rPr>
          <w:rFonts w:hint="eastAsia" w:cs="宋体" w:asciiTheme="minorEastAsia" w:hAnsiTheme="minorEastAsia"/>
          <w:bCs/>
          <w:kern w:val="0"/>
          <w:szCs w:val="21"/>
          <w:lang w:eastAsia="zh-CN"/>
        </w:rPr>
        <w:t>偏心配水器镗孔直径测量过程</w:t>
      </w:r>
      <w:r>
        <w:rPr>
          <w:rFonts w:hint="eastAsia" w:ascii="宋体" w:hAnsi="宋体" w:cs="宋体"/>
          <w:kern w:val="0"/>
          <w:szCs w:val="21"/>
          <w:shd w:val="clear" w:color="auto" w:fill="auto"/>
          <w:lang w:val="en-US" w:eastAsia="zh-CN"/>
        </w:rPr>
        <w:t>等3个测量过程</w:t>
      </w:r>
      <w:r>
        <w:rPr>
          <w:rFonts w:hint="eastAsia" w:ascii="宋体" w:hAnsi="宋体" w:cs="宋体"/>
          <w:kern w:val="0"/>
          <w:szCs w:val="21"/>
          <w:lang w:val="en-US" w:eastAsia="zh-CN"/>
        </w:rPr>
        <w:t>，未增加新的</w:t>
      </w:r>
      <w:r>
        <w:rPr>
          <w:rFonts w:hint="eastAsia" w:ascii="宋体" w:hAnsi="宋体" w:cs="宋体"/>
          <w:bCs/>
          <w:kern w:val="0"/>
          <w:szCs w:val="21"/>
          <w:lang w:eastAsia="zh-CN"/>
        </w:rPr>
        <w:t>关键测量过程；</w:t>
      </w:r>
      <w:r>
        <w:rPr>
          <w:rFonts w:hint="eastAsia" w:ascii="宋体" w:hAnsi="宋体" w:cs="宋体"/>
          <w:bCs/>
          <w:kern w:val="0"/>
          <w:szCs w:val="21"/>
        </w:rPr>
        <w:t>“</w:t>
      </w:r>
      <w:r>
        <w:rPr>
          <w:rFonts w:hint="eastAsia" w:ascii="Times New Roman" w:hAnsi="Times New Roman" w:eastAsia="宋体" w:cs="Times New Roman"/>
          <w:szCs w:val="21"/>
          <w:lang w:eastAsia="zh-CN"/>
        </w:rPr>
        <w:t>偏心配水器镗孔直径测量过程</w:t>
      </w:r>
      <w:r>
        <w:rPr>
          <w:rFonts w:hint="eastAsia" w:ascii="Times New Roman" w:hAnsi="Times New Roman" w:cs="Times New Roman"/>
          <w:bCs/>
          <w:kern w:val="0"/>
          <w:szCs w:val="21"/>
          <w:lang w:eastAsia="zh-CN"/>
        </w:rPr>
        <w:t>”</w:t>
      </w:r>
      <w:r>
        <w:rPr>
          <w:rFonts w:hint="eastAsia" w:ascii="宋体" w:hAnsi="宋体" w:cs="宋体"/>
          <w:bCs/>
          <w:kern w:val="0"/>
          <w:szCs w:val="21"/>
        </w:rPr>
        <w:t>为</w:t>
      </w:r>
      <w:r>
        <w:rPr>
          <w:rFonts w:hint="eastAsia" w:ascii="宋体" w:hAnsi="宋体" w:cs="宋体"/>
          <w:bCs/>
          <w:kern w:val="0"/>
          <w:szCs w:val="21"/>
          <w:lang w:eastAsia="zh-CN"/>
        </w:rPr>
        <w:t>关键</w:t>
      </w:r>
      <w:r>
        <w:rPr>
          <w:rFonts w:hint="eastAsia" w:ascii="宋体" w:hAnsi="宋体" w:cs="宋体"/>
          <w:bCs/>
          <w:kern w:val="0"/>
          <w:szCs w:val="21"/>
        </w:rPr>
        <w:t>测量过程。企业分别对测量过程的测量要素，从重要性、技术要求、配备测量设备名称、测量范围、允许误差（测量不确定度）、环境条件、操作人员资质、测量频次、监视方法等方面，予以有效控制和识别。</w:t>
      </w:r>
    </w:p>
    <w:p>
      <w:pPr>
        <w:widowControl/>
        <w:spacing w:line="360" w:lineRule="auto"/>
        <w:rPr>
          <w:rFonts w:ascii="Times New Roman" w:hAnsi="Times New Roman" w:cs="Times New Roman"/>
          <w:bCs/>
          <w:kern w:val="0"/>
          <w:szCs w:val="21"/>
        </w:rPr>
      </w:pPr>
      <w:r>
        <w:rPr>
          <w:rFonts w:ascii="宋体" w:hAnsi="宋体" w:cs="宋体"/>
          <w:bCs/>
          <w:kern w:val="0"/>
          <w:szCs w:val="21"/>
        </w:rPr>
        <w:t>4.2</w:t>
      </w:r>
      <w:r>
        <w:rPr>
          <w:rFonts w:hint="eastAsia" w:ascii="宋体" w:hAnsi="宋体" w:cs="宋体"/>
          <w:bCs/>
          <w:kern w:val="0"/>
          <w:szCs w:val="21"/>
        </w:rPr>
        <w:t>检查了企业的测量设备《计量确认明</w:t>
      </w:r>
      <w:r>
        <w:rPr>
          <w:rFonts w:hint="eastAsia" w:ascii="宋体" w:hAnsi="宋体" w:cs="宋体"/>
          <w:bCs/>
          <w:color w:val="auto"/>
          <w:kern w:val="0"/>
          <w:szCs w:val="21"/>
        </w:rPr>
        <w:t>细表》，对</w:t>
      </w:r>
      <w:r>
        <w:rPr>
          <w:rFonts w:hint="eastAsia" w:ascii="宋体" w:hAnsi="宋体" w:cs="宋体"/>
          <w:bCs/>
          <w:color w:val="auto"/>
          <w:kern w:val="0"/>
          <w:szCs w:val="21"/>
          <w:lang w:val="en-US" w:eastAsia="zh-CN"/>
        </w:rPr>
        <w:t>8</w:t>
      </w:r>
      <w:r>
        <w:rPr>
          <w:rFonts w:hint="eastAsia" w:ascii="宋体" w:hAnsi="宋体" w:cs="宋体"/>
          <w:bCs/>
          <w:color w:val="auto"/>
          <w:kern w:val="0"/>
          <w:szCs w:val="21"/>
        </w:rPr>
        <w:t>台件测量设</w:t>
      </w:r>
      <w:r>
        <w:rPr>
          <w:rFonts w:hint="eastAsia" w:ascii="宋体" w:hAnsi="宋体" w:cs="宋体"/>
          <w:bCs/>
          <w:kern w:val="0"/>
          <w:szCs w:val="21"/>
        </w:rPr>
        <w:t>备器具进行了计量确认和验证。全部在有效期内，验证结果均为合格。关键测量过程：“</w:t>
      </w:r>
      <w:r>
        <w:rPr>
          <w:rFonts w:hint="eastAsia" w:ascii="Times New Roman" w:hAnsi="Times New Roman" w:eastAsia="宋体" w:cs="Times New Roman"/>
          <w:szCs w:val="21"/>
          <w:lang w:eastAsia="zh-CN"/>
        </w:rPr>
        <w:t>偏心配水器镗孔直径测量过程</w:t>
      </w:r>
      <w:r>
        <w:rPr>
          <w:rFonts w:hint="eastAsia" w:ascii="宋体" w:hAnsi="宋体" w:cs="宋体"/>
          <w:bCs/>
          <w:kern w:val="0"/>
          <w:szCs w:val="21"/>
        </w:rPr>
        <w:t>”，计量性能测试、监视记录、监视控制图，均已按测量过程控制规范，进行了有效性监视和记录统计。</w:t>
      </w:r>
    </w:p>
    <w:p>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t>4.3. 企业</w:t>
      </w:r>
      <w:r>
        <w:rPr>
          <w:rFonts w:hint="eastAsia" w:ascii="Times New Roman" w:hAnsi="Times New Roman" w:cs="Times New Roman"/>
          <w:bCs/>
          <w:kern w:val="0"/>
          <w:szCs w:val="21"/>
          <w:lang w:eastAsia="zh-CN"/>
        </w:rPr>
        <w:t>未</w:t>
      </w:r>
      <w:r>
        <w:rPr>
          <w:rFonts w:ascii="Times New Roman" w:hAnsi="Times New Roman" w:cs="Times New Roman"/>
          <w:bCs/>
          <w:kern w:val="0"/>
          <w:szCs w:val="21"/>
        </w:rPr>
        <w:t>增</w:t>
      </w:r>
      <w:r>
        <w:rPr>
          <w:rFonts w:hint="eastAsia" w:ascii="Times New Roman" w:hAnsi="Times New Roman" w:cs="Times New Roman"/>
          <w:bCs/>
          <w:kern w:val="0"/>
          <w:szCs w:val="21"/>
          <w:lang w:eastAsia="zh-CN"/>
        </w:rPr>
        <w:t>加</w:t>
      </w:r>
      <w:r>
        <w:rPr>
          <w:rFonts w:ascii="Times New Roman" w:hAnsi="Times New Roman" w:cs="Times New Roman"/>
          <w:bCs/>
          <w:kern w:val="0"/>
          <w:szCs w:val="21"/>
        </w:rPr>
        <w:t>关键测量过程</w:t>
      </w:r>
      <w:r>
        <w:rPr>
          <w:rFonts w:hint="eastAsia" w:ascii="Times New Roman" w:hAnsi="Times New Roman" w:cs="Times New Roman"/>
          <w:bCs/>
          <w:kern w:val="0"/>
          <w:szCs w:val="21"/>
          <w:lang w:eastAsia="zh-CN"/>
        </w:rPr>
        <w:t>，查原“</w:t>
      </w:r>
      <w:r>
        <w:rPr>
          <w:rFonts w:hint="eastAsia" w:ascii="Times New Roman" w:hAnsi="Times New Roman" w:eastAsia="宋体" w:cs="Times New Roman"/>
          <w:szCs w:val="21"/>
          <w:lang w:eastAsia="zh-CN"/>
        </w:rPr>
        <w:t>偏心配水器镗孔直径测量过程</w:t>
      </w:r>
      <w:r>
        <w:rPr>
          <w:rFonts w:hint="eastAsia" w:ascii="Times New Roman" w:hAnsi="Times New Roman" w:cs="Times New Roman"/>
          <w:bCs/>
          <w:kern w:val="0"/>
          <w:szCs w:val="21"/>
          <w:lang w:eastAsia="zh-CN"/>
        </w:rPr>
        <w:t>”</w:t>
      </w:r>
      <w:r>
        <w:rPr>
          <w:rFonts w:ascii="Times New Roman" w:hAnsi="Times New Roman" w:cs="Times New Roman"/>
          <w:bCs/>
          <w:kern w:val="0"/>
          <w:szCs w:val="21"/>
        </w:rPr>
        <w:t>，</w:t>
      </w:r>
      <w:r>
        <w:rPr>
          <w:rFonts w:hint="eastAsia"/>
          <w:lang w:eastAsia="zh-CN"/>
        </w:rPr>
        <w:t>《</w:t>
      </w:r>
      <w:r>
        <w:rPr>
          <w:rFonts w:ascii="Times New Roman" w:hAnsi="Times New Roman" w:cs="Times New Roman"/>
          <w:bCs/>
          <w:kern w:val="0"/>
          <w:sz w:val="21"/>
          <w:szCs w:val="21"/>
        </w:rPr>
        <w:t>计量要求导出和计</w:t>
      </w:r>
      <w:r>
        <w:rPr>
          <w:rFonts w:ascii="Times New Roman" w:hAnsi="Times New Roman" w:cs="Times New Roman"/>
          <w:bCs/>
          <w:kern w:val="0"/>
          <w:szCs w:val="21"/>
        </w:rPr>
        <w:t>量验证记录表</w:t>
      </w:r>
      <w:r>
        <w:rPr>
          <w:rFonts w:hint="eastAsia"/>
          <w:lang w:eastAsia="zh-CN"/>
        </w:rPr>
        <w:t>》</w:t>
      </w:r>
      <w:r>
        <w:rPr>
          <w:rFonts w:ascii="Times New Roman" w:hAnsi="Times New Roman" w:cs="Times New Roman"/>
          <w:bCs/>
          <w:kern w:val="0"/>
          <w:szCs w:val="21"/>
        </w:rPr>
        <w:t>填写规范，计量要求导出方法正确；测量设备的配备满足计量要求，测量设备经过检定校准，测量设备验证方法正确。</w:t>
      </w:r>
    </w:p>
    <w:p>
      <w:pPr>
        <w:widowControl/>
        <w:spacing w:line="360" w:lineRule="auto"/>
        <w:jc w:val="left"/>
        <w:rPr>
          <w:rFonts w:ascii="Times New Roman" w:hAnsi="Times New Roman" w:cs="Times New Roman"/>
          <w:bCs/>
          <w:kern w:val="0"/>
          <w:sz w:val="21"/>
          <w:szCs w:val="21"/>
        </w:rPr>
      </w:pPr>
      <w:r>
        <w:rPr>
          <w:rFonts w:ascii="Times New Roman" w:hAnsi="Times New Roman" w:cs="Times New Roman"/>
          <w:bCs/>
          <w:kern w:val="0"/>
          <w:szCs w:val="21"/>
        </w:rPr>
        <w:t>4.4、查</w:t>
      </w:r>
      <w:r>
        <w:rPr>
          <w:rFonts w:hint="eastAsia" w:ascii="Times New Roman" w:hAnsi="Times New Roman" w:cs="Times New Roman"/>
          <w:bCs/>
          <w:kern w:val="0"/>
          <w:szCs w:val="21"/>
          <w:lang w:eastAsia="zh-CN"/>
        </w:rPr>
        <w:t>“</w:t>
      </w:r>
      <w:r>
        <w:rPr>
          <w:rFonts w:hint="eastAsia" w:ascii="Times New Roman" w:hAnsi="Times New Roman" w:eastAsia="宋体" w:cs="Times New Roman"/>
          <w:szCs w:val="21"/>
          <w:lang w:eastAsia="zh-CN"/>
        </w:rPr>
        <w:t>偏心配水器镗孔直径测量过程</w:t>
      </w:r>
      <w:r>
        <w:rPr>
          <w:rFonts w:ascii="Times New Roman" w:hAnsi="Times New Roman" w:cs="Times New Roman"/>
          <w:bCs/>
          <w:kern w:val="0"/>
          <w:sz w:val="21"/>
          <w:szCs w:val="21"/>
        </w:rPr>
        <w:t>不确定度评定</w:t>
      </w:r>
      <w:r>
        <w:rPr>
          <w:rFonts w:hint="eastAsia" w:ascii="Times New Roman" w:hAnsi="Times New Roman" w:cs="Times New Roman"/>
          <w:bCs/>
          <w:kern w:val="0"/>
          <w:sz w:val="21"/>
          <w:szCs w:val="21"/>
          <w:lang w:eastAsia="zh-CN"/>
        </w:rPr>
        <w:t>”</w:t>
      </w:r>
      <w:r>
        <w:rPr>
          <w:rFonts w:ascii="Times New Roman" w:hAnsi="Times New Roman" w:cs="Times New Roman"/>
          <w:bCs/>
          <w:kern w:val="0"/>
          <w:sz w:val="21"/>
          <w:szCs w:val="21"/>
        </w:rPr>
        <w:t>，方法和结果正确；</w:t>
      </w:r>
    </w:p>
    <w:p>
      <w:pPr>
        <w:widowControl/>
        <w:spacing w:line="360" w:lineRule="auto"/>
        <w:rPr>
          <w:rFonts w:ascii="Times New Roman" w:hAnsi="Times New Roman" w:cs="Times New Roman"/>
          <w:bCs/>
          <w:kern w:val="0"/>
          <w:szCs w:val="21"/>
        </w:rPr>
      </w:pPr>
      <w:r>
        <w:rPr>
          <w:rFonts w:ascii="Times New Roman" w:hAnsi="Times New Roman" w:cs="Times New Roman"/>
          <w:bCs/>
          <w:kern w:val="0"/>
          <w:sz w:val="21"/>
          <w:szCs w:val="21"/>
        </w:rPr>
        <w:t>4.5、查</w:t>
      </w:r>
      <w:r>
        <w:rPr>
          <w:rFonts w:hint="eastAsia" w:ascii="Times New Roman" w:hAnsi="Times New Roman" w:cs="Times New Roman"/>
          <w:bCs/>
          <w:kern w:val="0"/>
          <w:sz w:val="21"/>
          <w:szCs w:val="21"/>
          <w:lang w:eastAsia="zh-CN"/>
        </w:rPr>
        <w:t>“</w:t>
      </w:r>
      <w:r>
        <w:rPr>
          <w:rFonts w:hint="eastAsia" w:ascii="Times New Roman" w:hAnsi="Times New Roman" w:eastAsia="宋体" w:cs="Times New Roman"/>
          <w:szCs w:val="21"/>
          <w:lang w:eastAsia="zh-CN"/>
        </w:rPr>
        <w:t>偏心配水器镗孔直径测量过程</w:t>
      </w:r>
      <w:r>
        <w:rPr>
          <w:rFonts w:hint="eastAsia"/>
          <w:lang w:eastAsia="zh-CN"/>
        </w:rPr>
        <w:t>”《</w:t>
      </w:r>
      <w:r>
        <w:rPr>
          <w:rFonts w:ascii="Times New Roman" w:hAnsi="Times New Roman" w:cs="Times New Roman"/>
          <w:bCs/>
          <w:kern w:val="0"/>
          <w:sz w:val="21"/>
          <w:szCs w:val="21"/>
        </w:rPr>
        <w:t>计量要求导出和计</w:t>
      </w:r>
      <w:r>
        <w:rPr>
          <w:rFonts w:ascii="Times New Roman" w:hAnsi="Times New Roman" w:cs="Times New Roman"/>
          <w:bCs/>
          <w:kern w:val="0"/>
          <w:szCs w:val="21"/>
        </w:rPr>
        <w:t>量验证记录表</w:t>
      </w:r>
      <w:r>
        <w:rPr>
          <w:rFonts w:hint="eastAsia"/>
          <w:lang w:eastAsia="zh-CN"/>
        </w:rPr>
        <w:t>》</w:t>
      </w:r>
      <w:r>
        <w:rPr>
          <w:rFonts w:ascii="Times New Roman" w:hAnsi="Times New Roman" w:cs="Times New Roman"/>
          <w:bCs/>
          <w:kern w:val="0"/>
          <w:szCs w:val="21"/>
        </w:rPr>
        <w:t>，信息内容完整、正确。</w:t>
      </w:r>
    </w:p>
    <w:p>
      <w:pPr>
        <w:snapToGrid w:val="0"/>
        <w:spacing w:line="460" w:lineRule="exact"/>
        <w:rPr>
          <w:rFonts w:hint="eastAsia" w:ascii="宋体" w:hAnsi="宋体" w:cs="宋体"/>
          <w:bCs/>
          <w:kern w:val="0"/>
          <w:szCs w:val="21"/>
          <w:lang w:eastAsia="zh-CN"/>
        </w:rPr>
      </w:pPr>
      <w:r>
        <w:rPr>
          <w:rFonts w:ascii="宋体" w:hAnsi="宋体" w:cs="宋体"/>
          <w:bCs/>
          <w:kern w:val="0"/>
          <w:szCs w:val="21"/>
        </w:rPr>
        <w:t>5.</w:t>
      </w:r>
      <w:r>
        <w:rPr>
          <w:rFonts w:hint="eastAsia" w:ascii="宋体" w:hAnsi="宋体" w:cs="宋体"/>
          <w:bCs/>
          <w:kern w:val="0"/>
          <w:szCs w:val="21"/>
        </w:rPr>
        <w:t>对</w:t>
      </w:r>
      <w:r>
        <w:rPr>
          <w:rFonts w:hint="eastAsia" w:ascii="宋体" w:hAnsi="宋体" w:cs="宋体"/>
          <w:bCs/>
          <w:kern w:val="0"/>
          <w:szCs w:val="21"/>
          <w:lang w:eastAsia="zh-CN"/>
        </w:rPr>
        <w:t>上次监督</w:t>
      </w:r>
      <w:r>
        <w:rPr>
          <w:rFonts w:hint="eastAsia" w:ascii="宋体" w:hAnsi="宋体" w:cs="宋体"/>
          <w:bCs/>
          <w:kern w:val="0"/>
          <w:szCs w:val="21"/>
        </w:rPr>
        <w:t>审核时提出的不符合项的纠正措施情况：</w:t>
      </w:r>
    </w:p>
    <w:p>
      <w:pPr>
        <w:snapToGrid w:val="0"/>
        <w:spacing w:line="460" w:lineRule="exact"/>
        <w:ind w:firstLine="420" w:firstLineChars="200"/>
        <w:rPr>
          <w:rFonts w:ascii="宋体" w:hAnsi="宋体" w:cs="宋体"/>
          <w:bCs/>
          <w:kern w:val="0"/>
          <w:szCs w:val="21"/>
        </w:rPr>
      </w:pPr>
      <w:r>
        <w:rPr>
          <w:rFonts w:hint="eastAsia" w:ascii="宋体" w:hAnsi="宋体"/>
          <w:b w:val="0"/>
          <w:bCs/>
          <w:szCs w:val="21"/>
        </w:rPr>
        <w:t>公司</w:t>
      </w:r>
      <w:r>
        <w:rPr>
          <w:rFonts w:hint="eastAsia" w:ascii="宋体" w:hAnsi="宋体"/>
          <w:b w:val="0"/>
          <w:bCs/>
          <w:sz w:val="21"/>
          <w:szCs w:val="21"/>
        </w:rPr>
        <w:t>对上年度</w:t>
      </w:r>
      <w:r>
        <w:rPr>
          <w:rFonts w:hint="eastAsia" w:ascii="宋体" w:hAnsi="宋体"/>
          <w:b w:val="0"/>
          <w:bCs/>
          <w:sz w:val="21"/>
          <w:szCs w:val="21"/>
          <w:lang w:eastAsia="zh-CN"/>
        </w:rPr>
        <w:t>监督</w:t>
      </w:r>
      <w:r>
        <w:rPr>
          <w:rFonts w:hint="eastAsia" w:ascii="宋体" w:hAnsi="宋体"/>
          <w:b w:val="0"/>
          <w:bCs/>
          <w:sz w:val="21"/>
          <w:szCs w:val="21"/>
        </w:rPr>
        <w:t>审核中的</w:t>
      </w:r>
      <w:r>
        <w:rPr>
          <w:rFonts w:hint="eastAsia" w:ascii="宋体" w:hAnsi="宋体"/>
          <w:b w:val="0"/>
          <w:bCs/>
          <w:sz w:val="21"/>
          <w:szCs w:val="21"/>
          <w:lang w:val="en-US" w:eastAsia="zh-CN"/>
        </w:rPr>
        <w:t>1</w:t>
      </w:r>
      <w:r>
        <w:rPr>
          <w:rFonts w:hint="eastAsia" w:ascii="宋体" w:hAnsi="宋体"/>
          <w:b w:val="0"/>
          <w:bCs/>
          <w:sz w:val="21"/>
          <w:szCs w:val="21"/>
        </w:rPr>
        <w:t>个不符合项，及时制定整改计划，采取了如下纠正措施：已对开出的不符合项：</w:t>
      </w:r>
      <w:r>
        <w:rPr>
          <w:rFonts w:hint="eastAsia" w:ascii="宋体" w:hAnsi="宋体"/>
          <w:b w:val="0"/>
          <w:bCs/>
          <w:sz w:val="21"/>
          <w:szCs w:val="21"/>
          <w:lang w:eastAsia="zh-CN"/>
        </w:rPr>
        <w:t>“</w:t>
      </w:r>
      <w:r>
        <w:rPr>
          <w:rFonts w:hint="eastAsia" w:cs="宋体" w:asciiTheme="minorEastAsia" w:hAnsiTheme="minorEastAsia"/>
          <w:bCs/>
          <w:kern w:val="0"/>
          <w:szCs w:val="21"/>
        </w:rPr>
        <w:t>抽查企业合格外部供方资料，发现测量设备检定/校准机构—“山东省博测计量检测技术有限公司”，为2020年新增校准机构，企业没有对此机构进行供方业绩、服务质量、资质、诚信等方面进行资质调查和合格供方评价。不符合GB/T19022-2003中6.4外部供方</w:t>
      </w:r>
      <w:r>
        <w:rPr>
          <w:rFonts w:hint="eastAsia" w:ascii="宋体" w:hAnsi="宋体"/>
          <w:szCs w:val="21"/>
          <w:u w:val="none"/>
          <w:lang w:val="en-US" w:eastAsia="zh-CN"/>
        </w:rPr>
        <w:t>”</w:t>
      </w:r>
      <w:r>
        <w:rPr>
          <w:rFonts w:hint="eastAsia" w:ascii="宋体" w:hAnsi="宋体"/>
          <w:sz w:val="21"/>
          <w:szCs w:val="21"/>
        </w:rPr>
        <w:t>，</w:t>
      </w:r>
      <w:r>
        <w:rPr>
          <w:rFonts w:hint="eastAsia" w:ascii="Times New Roman" w:hAnsi="Times New Roman"/>
          <w:b w:val="0"/>
          <w:bCs/>
          <w:sz w:val="21"/>
          <w:szCs w:val="21"/>
          <w:lang w:val="en-US" w:eastAsia="zh-CN"/>
        </w:rPr>
        <w:t>.</w:t>
      </w:r>
      <w:r>
        <w:rPr>
          <w:rFonts w:hint="eastAsia" w:ascii="宋体" w:hAnsi="宋体" w:cs="宋体"/>
          <w:b w:val="0"/>
          <w:bCs/>
          <w:kern w:val="0"/>
          <w:sz w:val="21"/>
          <w:szCs w:val="21"/>
        </w:rPr>
        <w:t>经本次现场审核，审核组通过对整改完成情况及纠正措施有效性进行查验，确认公司上次</w:t>
      </w:r>
      <w:r>
        <w:rPr>
          <w:rFonts w:hint="eastAsia" w:ascii="宋体" w:hAnsi="宋体" w:cs="宋体"/>
          <w:b w:val="0"/>
          <w:bCs/>
          <w:kern w:val="0"/>
          <w:sz w:val="21"/>
          <w:szCs w:val="21"/>
          <w:lang w:eastAsia="zh-CN"/>
        </w:rPr>
        <w:t>监督</w:t>
      </w:r>
      <w:r>
        <w:rPr>
          <w:rFonts w:hint="eastAsia" w:ascii="宋体" w:hAnsi="宋体" w:cs="宋体"/>
          <w:b w:val="0"/>
          <w:bCs/>
          <w:kern w:val="0"/>
          <w:sz w:val="21"/>
          <w:szCs w:val="21"/>
        </w:rPr>
        <w:t>审核中确定的</w:t>
      </w:r>
      <w:r>
        <w:rPr>
          <w:rFonts w:hint="eastAsia" w:ascii="宋体" w:hAnsi="宋体" w:cs="宋体"/>
          <w:b w:val="0"/>
          <w:bCs/>
          <w:kern w:val="0"/>
          <w:sz w:val="21"/>
          <w:szCs w:val="21"/>
          <w:lang w:val="en-US" w:eastAsia="zh-CN"/>
        </w:rPr>
        <w:t>1</w:t>
      </w:r>
      <w:r>
        <w:rPr>
          <w:rFonts w:hint="eastAsia" w:ascii="宋体" w:hAnsi="宋体" w:cs="宋体"/>
          <w:b w:val="0"/>
          <w:bCs/>
          <w:kern w:val="0"/>
          <w:sz w:val="21"/>
          <w:szCs w:val="21"/>
        </w:rPr>
        <w:t>个不符合项，该公司</w:t>
      </w:r>
      <w:r>
        <w:rPr>
          <w:rFonts w:hint="eastAsia" w:ascii="宋体" w:hAnsi="宋体" w:cs="宋体"/>
          <w:kern w:val="0"/>
          <w:sz w:val="21"/>
          <w:szCs w:val="21"/>
        </w:rPr>
        <w:t>所采取的纠正措施按时整改完成，纠正措施有效，预防再次发生。同意关闭不符合项。</w:t>
      </w:r>
    </w:p>
    <w:p>
      <w:pPr>
        <w:widowControl/>
        <w:spacing w:line="360" w:lineRule="auto"/>
        <w:rPr>
          <w:rFonts w:ascii="宋体" w:cs="宋体"/>
          <w:bCs/>
          <w:kern w:val="0"/>
          <w:szCs w:val="21"/>
        </w:rPr>
      </w:pPr>
      <w:r>
        <w:rPr>
          <w:rFonts w:ascii="宋体" w:hAnsi="宋体" w:cs="宋体"/>
          <w:bCs/>
          <w:kern w:val="0"/>
          <w:szCs w:val="21"/>
        </w:rPr>
        <w:t>6.</w:t>
      </w:r>
      <w:r>
        <w:rPr>
          <w:rFonts w:hint="eastAsia" w:ascii="宋体" w:hAnsi="宋体" w:cs="宋体"/>
          <w:bCs/>
          <w:kern w:val="0"/>
          <w:szCs w:val="21"/>
        </w:rPr>
        <w:t>对投诉的处理情况：</w:t>
      </w:r>
    </w:p>
    <w:p>
      <w:pPr>
        <w:widowControl/>
        <w:spacing w:line="360" w:lineRule="auto"/>
        <w:ind w:firstLine="420" w:firstLineChars="200"/>
        <w:rPr>
          <w:rFonts w:hint="eastAsia"/>
          <w:szCs w:val="21"/>
          <w:lang w:eastAsia="zh-CN"/>
        </w:rPr>
      </w:pPr>
      <w:bookmarkStart w:id="4" w:name="_GoBack"/>
      <w:r>
        <w:rPr>
          <w:rFonts w:hint="eastAsia" w:ascii="宋体" w:hAnsi="宋体" w:cs="宋体"/>
          <w:bCs/>
          <w:kern w:val="0"/>
          <w:szCs w:val="21"/>
        </w:rPr>
        <w:t>公司目前尚未接到客户在</w:t>
      </w:r>
      <w:r>
        <w:rPr>
          <w:rFonts w:hint="eastAsia" w:ascii="宋体" w:hAnsi="宋体" w:cs="宋体"/>
          <w:bCs/>
          <w:kern w:val="0"/>
          <w:szCs w:val="21"/>
          <w:lang w:eastAsia="zh-CN"/>
        </w:rPr>
        <w:t>生产</w:t>
      </w:r>
      <w:r>
        <w:rPr>
          <w:rFonts w:hint="eastAsia" w:ascii="宋体" w:hAnsi="宋体" w:cs="宋体"/>
          <w:bCs/>
          <w:kern w:val="0"/>
          <w:szCs w:val="21"/>
        </w:rPr>
        <w:t>产品</w:t>
      </w:r>
      <w:r>
        <w:rPr>
          <w:rFonts w:hint="eastAsia" w:ascii="宋体" w:hAnsi="宋体" w:cs="宋体"/>
          <w:bCs/>
          <w:kern w:val="0"/>
          <w:szCs w:val="21"/>
          <w:lang w:eastAsia="zh-CN"/>
        </w:rPr>
        <w:t>、销售产品在</w:t>
      </w:r>
      <w:r>
        <w:rPr>
          <w:rFonts w:hint="eastAsia" w:ascii="宋体" w:hAnsi="宋体" w:cs="宋体"/>
          <w:bCs/>
          <w:kern w:val="0"/>
          <w:szCs w:val="21"/>
        </w:rPr>
        <w:t>质量、物料交接、安全、现场管理等方面的投诉和纠纷。</w:t>
      </w:r>
      <w:r>
        <w:rPr>
          <w:szCs w:val="21"/>
        </w:rPr>
        <w:t>企业</w:t>
      </w:r>
      <w:r>
        <w:rPr>
          <w:rFonts w:hint="eastAsia"/>
          <w:szCs w:val="21"/>
          <w:lang w:eastAsia="zh-CN"/>
        </w:rPr>
        <w:t>在</w:t>
      </w:r>
      <w:r>
        <w:rPr>
          <w:szCs w:val="21"/>
        </w:rPr>
        <w:t>生产产品</w:t>
      </w:r>
      <w:r>
        <w:rPr>
          <w:rFonts w:hint="eastAsia"/>
          <w:szCs w:val="21"/>
          <w:lang w:eastAsia="zh-CN"/>
        </w:rPr>
        <w:t>和销售产品均能</w:t>
      </w:r>
      <w:r>
        <w:rPr>
          <w:szCs w:val="21"/>
        </w:rPr>
        <w:t>够满足顾客</w:t>
      </w:r>
      <w:r>
        <w:rPr>
          <w:rFonts w:hint="eastAsia"/>
          <w:szCs w:val="21"/>
          <w:lang w:eastAsia="zh-CN"/>
        </w:rPr>
        <w:t>在</w:t>
      </w:r>
      <w:r>
        <w:rPr>
          <w:szCs w:val="21"/>
        </w:rPr>
        <w:t>行业标准对产品</w:t>
      </w:r>
      <w:r>
        <w:rPr>
          <w:rFonts w:hint="eastAsia"/>
          <w:szCs w:val="21"/>
          <w:lang w:eastAsia="zh-CN"/>
        </w:rPr>
        <w:t>和销售</w:t>
      </w:r>
      <w:r>
        <w:rPr>
          <w:szCs w:val="21"/>
        </w:rPr>
        <w:t>的要求。产品质量较好，未有顾客投诉。顾客</w:t>
      </w:r>
      <w:r>
        <w:rPr>
          <w:rFonts w:hint="eastAsia"/>
          <w:szCs w:val="21"/>
          <w:lang w:eastAsia="zh-CN"/>
        </w:rPr>
        <w:t>满意度达到标准要求。</w:t>
      </w:r>
    </w:p>
    <w:bookmarkEnd w:id="4"/>
    <w:p>
      <w:pPr>
        <w:widowControl/>
        <w:spacing w:line="360" w:lineRule="auto"/>
        <w:rPr>
          <w:rFonts w:ascii="宋体" w:cs="宋体"/>
          <w:bCs/>
          <w:kern w:val="0"/>
          <w:szCs w:val="21"/>
        </w:rPr>
      </w:pPr>
      <w:r>
        <w:rPr>
          <w:rFonts w:ascii="宋体" w:hAnsi="宋体" w:cs="宋体"/>
          <w:bCs/>
          <w:kern w:val="0"/>
          <w:szCs w:val="21"/>
        </w:rPr>
        <w:t>7.</w:t>
      </w:r>
      <w:r>
        <w:rPr>
          <w:rFonts w:hint="eastAsia" w:ascii="宋体" w:hAnsi="宋体" w:cs="宋体"/>
          <w:bCs/>
          <w:kern w:val="0"/>
          <w:szCs w:val="21"/>
        </w:rPr>
        <w:t>测量管理体系在实现获证客户目标方面的有效性及持续的运作控制情况：</w:t>
      </w:r>
    </w:p>
    <w:p>
      <w:pPr>
        <w:widowControl/>
        <w:spacing w:line="360" w:lineRule="auto"/>
        <w:ind w:firstLine="420" w:firstLineChars="200"/>
        <w:rPr>
          <w:rFonts w:cs="宋体" w:asciiTheme="minorEastAsia" w:hAnsiTheme="minorEastAsia"/>
          <w:bCs/>
          <w:kern w:val="0"/>
          <w:szCs w:val="21"/>
        </w:rPr>
      </w:pPr>
      <w:r>
        <w:rPr>
          <w:rFonts w:hint="eastAsia" w:cs="宋体" w:asciiTheme="minorEastAsia" w:hAnsiTheme="minorEastAsia"/>
          <w:bCs/>
          <w:kern w:val="0"/>
          <w:szCs w:val="21"/>
        </w:rPr>
        <w:t>企业规定了公司的计量工作目标</w:t>
      </w:r>
      <w:r>
        <w:rPr>
          <w:rFonts w:hint="eastAsia" w:cs="宋体" w:asciiTheme="minorEastAsia" w:hAnsiTheme="minorEastAsia"/>
          <w:bCs/>
          <w:kern w:val="0"/>
          <w:szCs w:val="21"/>
          <w:lang w:val="en-US" w:eastAsia="zh-CN"/>
        </w:rPr>
        <w:t>4</w:t>
      </w:r>
      <w:r>
        <w:rPr>
          <w:rFonts w:hint="eastAsia" w:cs="宋体" w:asciiTheme="minorEastAsia" w:hAnsiTheme="minorEastAsia"/>
          <w:bCs/>
          <w:kern w:val="0"/>
          <w:szCs w:val="21"/>
        </w:rPr>
        <w:t>项，质量目标与计量方针一致。202</w:t>
      </w:r>
      <w:r>
        <w:rPr>
          <w:rFonts w:hint="eastAsia" w:cs="宋体" w:asciiTheme="minorEastAsia" w:hAnsiTheme="minorEastAsia"/>
          <w:bCs/>
          <w:kern w:val="0"/>
          <w:szCs w:val="21"/>
          <w:lang w:val="en-US" w:eastAsia="zh-CN"/>
        </w:rPr>
        <w:t>1</w:t>
      </w:r>
      <w:r>
        <w:rPr>
          <w:rFonts w:hint="eastAsia" w:cs="宋体" w:asciiTheme="minorEastAsia" w:hAnsiTheme="minorEastAsia"/>
          <w:bCs/>
          <w:kern w:val="0"/>
          <w:szCs w:val="21"/>
        </w:rPr>
        <w:t>年度质量目标已分解。抽查企业</w:t>
      </w:r>
      <w:r>
        <w:rPr>
          <w:rFonts w:hint="eastAsia" w:cs="宋体" w:asciiTheme="minorEastAsia" w:hAnsiTheme="minorEastAsia"/>
          <w:bCs/>
          <w:kern w:val="0"/>
          <w:szCs w:val="21"/>
          <w:lang w:val="en-US" w:eastAsia="zh-CN"/>
        </w:rPr>
        <w:t>1-11月4</w:t>
      </w:r>
      <w:r>
        <w:rPr>
          <w:rFonts w:hint="eastAsia" w:cs="宋体" w:asciiTheme="minorEastAsia" w:hAnsiTheme="minorEastAsia"/>
          <w:bCs/>
          <w:kern w:val="0"/>
          <w:szCs w:val="21"/>
        </w:rPr>
        <w:t>个部门的《测量管理体系目标分解考核表》，有实施结果汇总。质量目标完成情况，符合企业目标管理控制程序要求 。质量目标完成情况达到质量目标要求。基本覆盖标准要素，符合GB/T 19022-2003标准要求。</w:t>
      </w:r>
    </w:p>
    <w:p>
      <w:pPr>
        <w:widowControl/>
        <w:spacing w:line="360" w:lineRule="auto"/>
        <w:rPr>
          <w:rFonts w:ascii="宋体" w:cs="宋体"/>
          <w:bCs/>
          <w:kern w:val="0"/>
          <w:szCs w:val="21"/>
        </w:rPr>
      </w:pPr>
      <w:r>
        <w:rPr>
          <w:rFonts w:ascii="宋体" w:hAnsi="宋体" w:cs="宋体"/>
          <w:bCs/>
          <w:kern w:val="0"/>
          <w:szCs w:val="21"/>
        </w:rPr>
        <w:t>8.</w:t>
      </w:r>
      <w:r>
        <w:rPr>
          <w:rFonts w:hint="eastAsia" w:ascii="宋体" w:hAnsi="宋体" w:cs="宋体"/>
          <w:bCs/>
          <w:kern w:val="0"/>
          <w:szCs w:val="21"/>
        </w:rPr>
        <w:t>对企业组织任何变更的审核：</w:t>
      </w:r>
    </w:p>
    <w:p>
      <w:pPr>
        <w:widowControl/>
        <w:spacing w:line="360" w:lineRule="auto"/>
        <w:ind w:firstLine="420" w:firstLineChars="200"/>
        <w:rPr>
          <w:rFonts w:ascii="宋体" w:cs="宋体"/>
          <w:bCs/>
          <w:kern w:val="0"/>
          <w:szCs w:val="21"/>
          <w:highlight w:val="none"/>
        </w:rPr>
      </w:pPr>
      <w:r>
        <w:rPr>
          <w:rFonts w:hint="eastAsia" w:ascii="宋体" w:hAnsi="宋体" w:cs="宋体"/>
          <w:bCs/>
          <w:kern w:val="0"/>
          <w:szCs w:val="21"/>
          <w:highlight w:val="none"/>
        </w:rPr>
        <w:t>公司在测量管理体系运行方面</w:t>
      </w:r>
      <w:r>
        <w:rPr>
          <w:rFonts w:hint="eastAsia" w:ascii="宋体" w:hAnsi="宋体" w:cs="宋体"/>
          <w:bCs/>
          <w:kern w:val="0"/>
          <w:szCs w:val="21"/>
          <w:highlight w:val="none"/>
          <w:lang w:eastAsia="zh-CN"/>
        </w:rPr>
        <w:t>正常</w:t>
      </w:r>
      <w:r>
        <w:rPr>
          <w:rFonts w:hint="eastAsia" w:ascii="宋体" w:hAnsi="宋体" w:cs="宋体"/>
          <w:bCs/>
          <w:kern w:val="0"/>
          <w:szCs w:val="21"/>
          <w:highlight w:val="none"/>
        </w:rPr>
        <w:t>，</w:t>
      </w:r>
      <w:r>
        <w:rPr>
          <w:rFonts w:hint="eastAsia" w:ascii="宋体" w:hAnsi="宋体" w:cs="宋体"/>
          <w:bCs/>
          <w:kern w:val="0"/>
          <w:szCs w:val="21"/>
          <w:highlight w:val="none"/>
          <w:lang w:eastAsia="zh-CN"/>
        </w:rPr>
        <w:t>营业执照、</w:t>
      </w:r>
      <w:r>
        <w:rPr>
          <w:rFonts w:hint="eastAsia" w:ascii="宋体" w:hAnsi="宋体" w:cs="宋体"/>
          <w:b w:val="0"/>
          <w:bCs/>
          <w:kern w:val="0"/>
          <w:szCs w:val="21"/>
          <w:highlight w:val="none"/>
          <w:lang w:val="en-US" w:eastAsia="zh-CN"/>
        </w:rPr>
        <w:t>认证范围、</w:t>
      </w:r>
      <w:r>
        <w:rPr>
          <w:rFonts w:hint="eastAsia" w:ascii="宋体" w:hAnsi="宋体" w:cs="宋体"/>
          <w:bCs/>
          <w:kern w:val="0"/>
          <w:szCs w:val="21"/>
          <w:highlight w:val="none"/>
          <w:lang w:val="en-US" w:eastAsia="zh-CN"/>
        </w:rPr>
        <w:t>企业</w:t>
      </w:r>
      <w:r>
        <w:rPr>
          <w:rFonts w:hint="eastAsia" w:ascii="宋体" w:hAnsi="宋体" w:cs="宋体"/>
          <w:bCs/>
          <w:kern w:val="0"/>
          <w:szCs w:val="21"/>
          <w:highlight w:val="none"/>
        </w:rPr>
        <w:t>管理者代表、组织结构</w:t>
      </w:r>
      <w:r>
        <w:rPr>
          <w:rFonts w:hint="eastAsia" w:ascii="宋体" w:hAnsi="宋体" w:cs="宋体"/>
          <w:bCs/>
          <w:kern w:val="0"/>
          <w:szCs w:val="21"/>
          <w:highlight w:val="none"/>
          <w:lang w:eastAsia="zh-CN"/>
        </w:rPr>
        <w:t>等</w:t>
      </w:r>
      <w:r>
        <w:rPr>
          <w:rFonts w:hint="eastAsia" w:ascii="宋体" w:hAnsi="宋体" w:cs="宋体"/>
          <w:bCs/>
          <w:kern w:val="0"/>
          <w:szCs w:val="21"/>
          <w:highlight w:val="none"/>
        </w:rPr>
        <w:t>没有变化。</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highlight w:val="none"/>
        </w:rPr>
        <w:t>9.标志的使用和（或）任何其他对认证资格引用</w:t>
      </w:r>
      <w:r>
        <w:rPr>
          <w:rFonts w:ascii="Times New Roman" w:hAnsi="Times New Roman" w:cs="Times New Roman"/>
          <w:b/>
          <w:bCs/>
          <w:kern w:val="0"/>
          <w:szCs w:val="21"/>
        </w:rPr>
        <w:t>的情况：</w:t>
      </w:r>
    </w:p>
    <w:p>
      <w:pPr>
        <w:widowControl/>
        <w:spacing w:line="360" w:lineRule="auto"/>
        <w:ind w:firstLine="420" w:firstLineChars="200"/>
        <w:rPr>
          <w:rFonts w:cs="宋体" w:asciiTheme="minorEastAsia" w:hAnsiTheme="minorEastAsia"/>
          <w:bCs/>
          <w:kern w:val="0"/>
          <w:szCs w:val="21"/>
        </w:rPr>
      </w:pPr>
      <w:r>
        <w:rPr>
          <w:rFonts w:hint="eastAsia" w:cs="宋体" w:asciiTheme="minorEastAsia" w:hAnsiTheme="minorEastAsia"/>
          <w:bCs/>
          <w:kern w:val="0"/>
          <w:szCs w:val="21"/>
        </w:rPr>
        <w:t>公司对标志的使用，符合相关标准和规定。公司测量管理体系在认证证书用于：</w:t>
      </w:r>
    </w:p>
    <w:p>
      <w:pPr>
        <w:widowControl/>
        <w:spacing w:line="360" w:lineRule="auto"/>
        <w:rPr>
          <w:rFonts w:cs="宋体" w:asciiTheme="minorEastAsia" w:hAnsiTheme="minorEastAsia"/>
          <w:bCs/>
          <w:kern w:val="0"/>
          <w:szCs w:val="21"/>
        </w:rPr>
      </w:pPr>
      <w:r>
        <w:rPr>
          <w:rFonts w:hint="eastAsia" w:cs="宋体" w:asciiTheme="minorEastAsia" w:hAnsiTheme="minorEastAsia"/>
          <w:bCs/>
          <w:kern w:val="0"/>
          <w:szCs w:val="21"/>
        </w:rPr>
        <w:t>9.1、用于开发国内、海外市场，公司形象广告宣传；</w:t>
      </w:r>
    </w:p>
    <w:p>
      <w:pPr>
        <w:widowControl/>
        <w:spacing w:line="360" w:lineRule="auto"/>
        <w:rPr>
          <w:rFonts w:cs="宋体" w:asciiTheme="minorEastAsia" w:hAnsiTheme="minorEastAsia"/>
          <w:bCs/>
          <w:kern w:val="0"/>
          <w:szCs w:val="21"/>
        </w:rPr>
      </w:pPr>
      <w:r>
        <w:rPr>
          <w:rFonts w:hint="eastAsia" w:cs="宋体" w:asciiTheme="minorEastAsia" w:hAnsiTheme="minorEastAsia"/>
          <w:bCs/>
          <w:kern w:val="0"/>
          <w:szCs w:val="21"/>
        </w:rPr>
        <w:t>9.2、用于公司招投标工程加分。</w:t>
      </w:r>
    </w:p>
    <w:p>
      <w:pPr>
        <w:widowControl/>
        <w:spacing w:line="360" w:lineRule="auto"/>
        <w:rPr>
          <w:rFonts w:hint="eastAsia" w:ascii="宋体" w:hAnsi="宋体" w:cs="宋体"/>
          <w:kern w:val="0"/>
          <w:szCs w:val="21"/>
        </w:rPr>
      </w:pPr>
      <w:r>
        <w:rPr>
          <w:rFonts w:ascii="宋体" w:hAnsi="宋体" w:cs="宋体"/>
          <w:bCs/>
          <w:kern w:val="0"/>
          <w:szCs w:val="21"/>
        </w:rPr>
        <w:t>10.</w:t>
      </w:r>
      <w:r>
        <w:rPr>
          <w:rFonts w:hint="eastAsia" w:ascii="宋体" w:hAnsi="宋体" w:cs="宋体"/>
          <w:kern w:val="0"/>
          <w:szCs w:val="21"/>
        </w:rPr>
        <w:t>本次审核发现一般不符合项1项，未发现严重的或系统性的不符合情况。</w:t>
      </w:r>
    </w:p>
    <w:p>
      <w:pPr>
        <w:spacing w:line="440" w:lineRule="exact"/>
        <w:jc w:val="left"/>
        <w:rPr>
          <w:rFonts w:hint="eastAsia" w:ascii="宋体" w:hAnsi="宋体" w:cs="宋体"/>
          <w:bCs/>
          <w:color w:val="auto"/>
          <w:kern w:val="0"/>
          <w:szCs w:val="21"/>
          <w:highlight w:val="none"/>
        </w:rPr>
      </w:pPr>
      <w:r>
        <w:rPr>
          <w:rFonts w:hint="eastAsia" w:ascii="宋体" w:hAnsi="宋体" w:cs="宋体"/>
          <w:kern w:val="0"/>
          <w:szCs w:val="21"/>
          <w:highlight w:val="none"/>
          <w:lang w:val="en-US" w:eastAsia="zh-CN"/>
        </w:rPr>
        <w:t>10.1</w:t>
      </w:r>
      <w:r>
        <w:rPr>
          <w:rFonts w:hint="default" w:ascii="Times New Roman" w:hAnsi="Times New Roman" w:eastAsia="宋体" w:cs="Times New Roman"/>
          <w:bCs/>
          <w:color w:val="auto"/>
          <w:sz w:val="21"/>
          <w:szCs w:val="21"/>
        </w:rPr>
        <w:t>查</w:t>
      </w:r>
      <w:r>
        <w:rPr>
          <w:rFonts w:hint="eastAsia" w:ascii="Times New Roman" w:hAnsi="Times New Roman" w:cs="Times New Roman"/>
          <w:bCs/>
          <w:color w:val="auto"/>
          <w:sz w:val="21"/>
          <w:szCs w:val="21"/>
          <w:lang w:eastAsia="zh-CN"/>
        </w:rPr>
        <w:t>生产现场使用的</w:t>
      </w:r>
      <w:r>
        <w:rPr>
          <w:rFonts w:hint="default" w:ascii="Times New Roman" w:hAnsi="Times New Roman" w:eastAsia="宋体" w:cs="Times New Roman"/>
          <w:bCs/>
          <w:color w:val="auto"/>
          <w:sz w:val="21"/>
          <w:szCs w:val="21"/>
        </w:rPr>
        <w:t>规格型号为</w:t>
      </w:r>
      <w:r>
        <w:rPr>
          <w:rFonts w:hint="eastAsia"/>
        </w:rPr>
        <w:t>WLB-LD100-E</w:t>
      </w:r>
      <w:r>
        <w:rPr>
          <w:rFonts w:hint="default" w:ascii="Times New Roman" w:hAnsi="Times New Roman" w:eastAsia="宋体" w:cs="Times New Roman"/>
          <w:bCs/>
          <w:color w:val="auto"/>
          <w:sz w:val="21"/>
          <w:szCs w:val="21"/>
          <w:lang w:val="en-US" w:eastAsia="zh-CN"/>
        </w:rPr>
        <w:t>，编号</w:t>
      </w:r>
      <w:r>
        <w:rPr>
          <w:rFonts w:hint="eastAsia"/>
        </w:rPr>
        <w:t>11907226</w:t>
      </w:r>
      <w:r>
        <w:rPr>
          <w:rFonts w:hint="default" w:ascii="Times New Roman" w:hAnsi="Times New Roman" w:eastAsia="宋体" w:cs="Times New Roman"/>
          <w:bCs/>
          <w:color w:val="auto"/>
          <w:sz w:val="21"/>
          <w:szCs w:val="21"/>
          <w:lang w:val="en-US" w:eastAsia="zh-CN"/>
        </w:rPr>
        <w:t>的</w:t>
      </w:r>
      <w:r>
        <w:rPr>
          <w:rFonts w:hint="eastAsia"/>
        </w:rPr>
        <w:t>电磁流量计</w:t>
      </w:r>
      <w:r>
        <w:rPr>
          <w:rFonts w:hint="eastAsia"/>
          <w:lang w:eastAsia="zh-CN"/>
        </w:rPr>
        <w:t>，没有计量确认</w:t>
      </w:r>
      <w:r>
        <w:rPr>
          <w:rFonts w:hint="eastAsia" w:ascii="Times New Roman" w:hAnsi="Times New Roman" w:eastAsia="宋体" w:cs="Times New Roman"/>
          <w:sz w:val="21"/>
          <w:szCs w:val="21"/>
          <w:lang w:val="en-US" w:eastAsia="zh-CN"/>
        </w:rPr>
        <w:t>。</w:t>
      </w:r>
      <w:r>
        <w:rPr>
          <w:rFonts w:hint="eastAsia" w:ascii="宋体" w:hAnsi="宋体"/>
          <w:szCs w:val="21"/>
          <w:highlight w:val="none"/>
        </w:rPr>
        <w:t>不满足标准GB/T 19022-2003</w:t>
      </w:r>
      <w:r>
        <w:rPr>
          <w:rFonts w:hint="eastAsia" w:ascii="宋体" w:hAnsi="宋体"/>
          <w:szCs w:val="21"/>
          <w:highlight w:val="none"/>
          <w:lang w:eastAsia="zh-CN"/>
        </w:rPr>
        <w:t>标准</w:t>
      </w:r>
      <w:r>
        <w:rPr>
          <w:rFonts w:hint="eastAsia" w:ascii="宋体" w:hAnsi="宋体"/>
          <w:szCs w:val="21"/>
          <w:highlight w:val="none"/>
          <w:lang w:val="en-US" w:eastAsia="zh-CN"/>
        </w:rPr>
        <w:t>7.1.1条款总则</w:t>
      </w:r>
      <w:r>
        <w:rPr>
          <w:rFonts w:hint="eastAsia" w:ascii="宋体" w:hAnsi="宋体"/>
          <w:szCs w:val="21"/>
          <w:highlight w:val="none"/>
          <w:lang w:eastAsia="zh-CN"/>
        </w:rPr>
        <w:t>的规定</w:t>
      </w:r>
      <w:r>
        <w:rPr>
          <w:rFonts w:hint="eastAsia" w:ascii="宋体" w:hAnsi="宋体"/>
          <w:szCs w:val="21"/>
          <w:highlight w:val="none"/>
        </w:rPr>
        <w:t>要求。</w:t>
      </w:r>
      <w:r>
        <w:rPr>
          <w:rFonts w:hint="eastAsia" w:ascii="宋体" w:hAnsi="宋体" w:cs="宋体"/>
          <w:bCs/>
          <w:color w:val="auto"/>
          <w:kern w:val="0"/>
          <w:szCs w:val="21"/>
          <w:highlight w:val="none"/>
        </w:rPr>
        <w:t>属于次要不符合项。</w:t>
      </w:r>
    </w:p>
    <w:p>
      <w:pPr>
        <w:spacing w:line="360" w:lineRule="auto"/>
        <w:ind w:firstLine="420" w:firstLineChars="200"/>
        <w:rPr>
          <w:rFonts w:hint="eastAsia" w:ascii="宋体" w:hAnsi="宋体"/>
          <w:color w:val="auto"/>
          <w:szCs w:val="21"/>
          <w:highlight w:val="none"/>
          <w:u w:val="none"/>
          <w:lang w:val="en-US" w:eastAsia="zh-CN"/>
        </w:rPr>
      </w:pPr>
      <w:r>
        <w:rPr>
          <w:rFonts w:hint="eastAsia" w:ascii="宋体" w:hAnsi="宋体"/>
          <w:color w:val="auto"/>
          <w:szCs w:val="21"/>
          <w:highlight w:val="none"/>
          <w:u w:val="none"/>
          <w:lang w:val="en-US" w:eastAsia="zh-CN"/>
        </w:rPr>
        <w:t>针对上述1项次要不符合项，企业制定了整改措施并已落实，审核组验证有效。</w:t>
      </w:r>
    </w:p>
    <w:p>
      <w:pPr>
        <w:spacing w:line="360" w:lineRule="auto"/>
        <w:rPr>
          <w:rFonts w:hint="eastAsia" w:ascii="宋体" w:hAnsi="宋体" w:eastAsia="宋体" w:cs="宋体"/>
          <w:b w:val="0"/>
          <w:bCs/>
          <w:kern w:val="0"/>
          <w:szCs w:val="21"/>
          <w:highlight w:val="none"/>
          <w:lang w:eastAsia="zh-CN"/>
        </w:rPr>
      </w:pPr>
      <w:r>
        <w:rPr>
          <w:rFonts w:ascii="宋体" w:hAnsi="宋体" w:cs="宋体"/>
          <w:b w:val="0"/>
          <w:bCs/>
          <w:kern w:val="0"/>
          <w:szCs w:val="21"/>
          <w:highlight w:val="none"/>
        </w:rPr>
        <w:t>11</w:t>
      </w:r>
      <w:r>
        <w:rPr>
          <w:rFonts w:hint="eastAsia" w:ascii="宋体" w:hAnsi="宋体" w:cs="宋体"/>
          <w:b w:val="0"/>
          <w:bCs/>
          <w:kern w:val="0"/>
          <w:szCs w:val="21"/>
          <w:highlight w:val="none"/>
          <w:lang w:val="en-US" w:eastAsia="zh-CN"/>
        </w:rPr>
        <w:t>.</w:t>
      </w:r>
      <w:r>
        <w:rPr>
          <w:rFonts w:hint="eastAsia" w:ascii="宋体" w:hAnsi="宋体" w:cs="宋体"/>
          <w:b w:val="0"/>
          <w:bCs/>
          <w:kern w:val="0"/>
          <w:szCs w:val="21"/>
          <w:highlight w:val="none"/>
        </w:rPr>
        <w:t>本企业为非重点用能单位，</w:t>
      </w:r>
      <w:r>
        <w:rPr>
          <w:rFonts w:ascii="Times New Roman" w:hAnsi="Times New Roman" w:cs="Times New Roman"/>
          <w:b w:val="0"/>
          <w:bCs/>
          <w:kern w:val="0"/>
          <w:szCs w:val="21"/>
          <w:highlight w:val="none"/>
        </w:rPr>
        <w:t>能耗主要是生产用电</w:t>
      </w:r>
      <w:r>
        <w:rPr>
          <w:rFonts w:hint="eastAsia" w:ascii="Times New Roman" w:hAnsi="Times New Roman" w:cs="Times New Roman"/>
          <w:b w:val="0"/>
          <w:bCs/>
          <w:kern w:val="0"/>
          <w:szCs w:val="21"/>
          <w:highlight w:val="none"/>
          <w:lang w:eastAsia="zh-CN"/>
        </w:rPr>
        <w:t>，</w:t>
      </w:r>
      <w:r>
        <w:rPr>
          <w:rFonts w:hint="eastAsia" w:ascii="宋体" w:hAnsi="宋体" w:cs="宋体"/>
          <w:b w:val="0"/>
          <w:bCs/>
          <w:kern w:val="0"/>
          <w:szCs w:val="21"/>
          <w:highlight w:val="none"/>
        </w:rPr>
        <w:t>企业</w:t>
      </w:r>
      <w:r>
        <w:rPr>
          <w:rFonts w:hint="eastAsia" w:ascii="宋体" w:hAnsi="宋体" w:cs="宋体"/>
          <w:b w:val="0"/>
          <w:bCs/>
          <w:kern w:val="0"/>
          <w:szCs w:val="21"/>
          <w:highlight w:val="none"/>
          <w:lang w:val="en-US" w:eastAsia="zh-CN"/>
        </w:rPr>
        <w:t>2021年1月至11月，</w:t>
      </w:r>
      <w:r>
        <w:rPr>
          <w:rFonts w:hint="eastAsia" w:ascii="宋体" w:hAnsi="宋体" w:cs="宋体"/>
          <w:b w:val="0"/>
          <w:bCs/>
          <w:kern w:val="0"/>
          <w:szCs w:val="21"/>
          <w:highlight w:val="none"/>
        </w:rPr>
        <w:t>耗能为</w:t>
      </w:r>
      <w:r>
        <w:rPr>
          <w:rFonts w:hint="eastAsia" w:ascii="宋体" w:hAnsi="宋体" w:cs="宋体"/>
          <w:b w:val="0"/>
          <w:bCs/>
          <w:kern w:val="0"/>
          <w:szCs w:val="21"/>
          <w:highlight w:val="none"/>
          <w:lang w:val="en-US" w:eastAsia="zh-CN"/>
        </w:rPr>
        <w:t>4.14</w:t>
      </w:r>
      <w:r>
        <w:rPr>
          <w:rFonts w:hint="eastAsia" w:ascii="宋体" w:hAnsi="宋体" w:cs="宋体"/>
          <w:b w:val="0"/>
          <w:bCs/>
          <w:kern w:val="0"/>
          <w:szCs w:val="21"/>
          <w:highlight w:val="none"/>
        </w:rPr>
        <w:t>吨标煤</w:t>
      </w:r>
      <w:r>
        <w:rPr>
          <w:rFonts w:hint="eastAsia" w:ascii="宋体" w:hAnsi="宋体" w:cs="宋体"/>
          <w:b w:val="0"/>
          <w:bCs/>
          <w:color w:val="auto"/>
          <w:kern w:val="0"/>
          <w:szCs w:val="21"/>
          <w:highlight w:val="none"/>
        </w:rPr>
        <w:t>，</w:t>
      </w:r>
      <w:r>
        <w:rPr>
          <w:rFonts w:hint="eastAsia" w:ascii="宋体" w:hAnsi="宋体"/>
          <w:b w:val="0"/>
          <w:bCs/>
          <w:color w:val="auto"/>
          <w:szCs w:val="21"/>
          <w:highlight w:val="none"/>
        </w:rPr>
        <w:t>企业</w:t>
      </w:r>
      <w:r>
        <w:rPr>
          <w:rFonts w:ascii="宋体" w:hAnsi="宋体"/>
          <w:b w:val="0"/>
          <w:bCs/>
          <w:color w:val="auto"/>
          <w:szCs w:val="21"/>
          <w:highlight w:val="none"/>
        </w:rPr>
        <w:t>的能源计</w:t>
      </w:r>
      <w:r>
        <w:rPr>
          <w:rFonts w:ascii="宋体" w:hAnsi="宋体"/>
          <w:b w:val="0"/>
          <w:bCs/>
          <w:szCs w:val="21"/>
          <w:highlight w:val="none"/>
        </w:rPr>
        <w:t>量器具准确度等级</w:t>
      </w:r>
      <w:r>
        <w:rPr>
          <w:rFonts w:hint="eastAsia" w:ascii="宋体" w:hAnsi="宋体"/>
          <w:b w:val="0"/>
          <w:bCs/>
          <w:szCs w:val="21"/>
          <w:highlight w:val="none"/>
        </w:rPr>
        <w:t>：</w:t>
      </w:r>
      <w:r>
        <w:rPr>
          <w:rFonts w:hint="eastAsia" w:ascii="宋体" w:hAnsi="宋体"/>
          <w:b w:val="0"/>
          <w:bCs/>
          <w:szCs w:val="21"/>
          <w:highlight w:val="none"/>
          <w:lang w:val="en-US" w:eastAsia="zh-CN"/>
        </w:rPr>
        <w:t>2.0</w:t>
      </w:r>
      <w:r>
        <w:rPr>
          <w:rFonts w:hint="eastAsia"/>
          <w:b w:val="0"/>
          <w:bCs/>
          <w:szCs w:val="21"/>
          <w:highlight w:val="none"/>
        </w:rPr>
        <w:t>级的三相</w:t>
      </w:r>
      <w:r>
        <w:rPr>
          <w:rFonts w:hint="eastAsia"/>
          <w:b w:val="0"/>
          <w:bCs/>
          <w:szCs w:val="21"/>
          <w:highlight w:val="none"/>
          <w:lang w:eastAsia="zh-CN"/>
        </w:rPr>
        <w:t>四</w:t>
      </w:r>
      <w:r>
        <w:rPr>
          <w:rFonts w:hint="eastAsia"/>
          <w:b w:val="0"/>
          <w:bCs/>
          <w:szCs w:val="21"/>
          <w:highlight w:val="none"/>
        </w:rPr>
        <w:t>线电能表</w:t>
      </w:r>
      <w:r>
        <w:rPr>
          <w:rFonts w:hint="eastAsia"/>
          <w:b w:val="0"/>
          <w:bCs/>
          <w:szCs w:val="21"/>
          <w:highlight w:val="none"/>
          <w:lang w:val="en-US" w:eastAsia="zh-CN"/>
        </w:rPr>
        <w:t>1块</w:t>
      </w:r>
      <w:r>
        <w:rPr>
          <w:rFonts w:hint="eastAsia"/>
          <w:b w:val="0"/>
          <w:bCs/>
          <w:szCs w:val="21"/>
          <w:highlight w:val="none"/>
          <w:lang w:eastAsia="zh-CN"/>
        </w:rPr>
        <w:t>。</w:t>
      </w:r>
      <w:r>
        <w:rPr>
          <w:rFonts w:hint="eastAsia" w:ascii="宋体" w:hAnsi="宋体" w:eastAsia="宋体" w:cs="宋体"/>
          <w:b w:val="0"/>
          <w:bCs/>
          <w:kern w:val="0"/>
          <w:szCs w:val="21"/>
          <w:highlight w:val="none"/>
        </w:rPr>
        <w:t>满足GB17167标准4.3.8表4的</w:t>
      </w:r>
      <w:r>
        <w:rPr>
          <w:rFonts w:hint="eastAsia" w:ascii="宋体" w:hAnsi="宋体" w:eastAsia="宋体" w:cs="宋体"/>
          <w:b w:val="0"/>
          <w:bCs/>
          <w:kern w:val="0"/>
          <w:szCs w:val="21"/>
          <w:highlight w:val="none"/>
          <w:lang w:eastAsia="zh-CN"/>
        </w:rPr>
        <w:t>标准</w:t>
      </w:r>
      <w:r>
        <w:rPr>
          <w:rFonts w:hint="eastAsia" w:ascii="宋体" w:hAnsi="宋体" w:eastAsia="宋体" w:cs="宋体"/>
          <w:b w:val="0"/>
          <w:bCs/>
          <w:kern w:val="0"/>
          <w:szCs w:val="21"/>
          <w:highlight w:val="none"/>
        </w:rPr>
        <w:t>要求</w:t>
      </w:r>
      <w:r>
        <w:rPr>
          <w:rFonts w:hint="eastAsia" w:ascii="宋体" w:hAnsi="宋体" w:eastAsia="宋体" w:cs="宋体"/>
          <w:b w:val="0"/>
          <w:bCs/>
          <w:kern w:val="0"/>
          <w:szCs w:val="21"/>
          <w:highlight w:val="none"/>
          <w:lang w:eastAsia="zh-CN"/>
        </w:rPr>
        <w:t>。</w:t>
      </w:r>
    </w:p>
    <w:p>
      <w:pPr>
        <w:spacing w:before="240" w:after="240" w:line="360" w:lineRule="auto"/>
        <w:rPr>
          <w:rFonts w:ascii="宋体" w:cs="宋体"/>
          <w:b/>
          <w:bCs/>
          <w:kern w:val="0"/>
          <w:szCs w:val="21"/>
          <w:highlight w:val="none"/>
        </w:rPr>
      </w:pPr>
      <w:r>
        <w:rPr>
          <w:rFonts w:hint="eastAsia" w:ascii="宋体" w:hAnsi="宋体" w:cs="宋体"/>
          <w:b/>
          <w:bCs/>
          <w:kern w:val="0"/>
          <w:szCs w:val="21"/>
          <w:highlight w:val="none"/>
        </w:rPr>
        <w:t>二、监督审核结论意见</w:t>
      </w:r>
      <w:r>
        <w:rPr>
          <w:rFonts w:ascii="宋体" w:hAnsi="宋体" w:cs="宋体"/>
          <w:b/>
          <w:bCs/>
          <w:kern w:val="0"/>
          <w:szCs w:val="21"/>
          <w:highlight w:val="none"/>
        </w:rPr>
        <w:t>(</w:t>
      </w:r>
      <w:r>
        <w:rPr>
          <w:rFonts w:hint="eastAsia" w:ascii="宋体" w:hAnsi="宋体" w:cs="宋体"/>
          <w:b/>
          <w:bCs/>
          <w:kern w:val="0"/>
          <w:szCs w:val="21"/>
          <w:highlight w:val="none"/>
        </w:rPr>
        <w:t>含需要说明的事项</w:t>
      </w:r>
      <w:r>
        <w:rPr>
          <w:rFonts w:ascii="宋体" w:hAnsi="宋体" w:cs="宋体"/>
          <w:b/>
          <w:bCs/>
          <w:kern w:val="0"/>
          <w:szCs w:val="21"/>
          <w:highlight w:val="none"/>
        </w:rPr>
        <w:t xml:space="preserve">): </w:t>
      </w:r>
    </w:p>
    <w:p>
      <w:pPr>
        <w:widowControl/>
        <w:spacing w:line="360" w:lineRule="auto"/>
        <w:ind w:firstLine="420" w:firstLineChars="200"/>
        <w:jc w:val="left"/>
        <w:rPr>
          <w:rFonts w:ascii="宋体" w:cs="宋体"/>
          <w:bCs/>
          <w:kern w:val="0"/>
          <w:szCs w:val="21"/>
        </w:rPr>
      </w:pPr>
      <w:r>
        <w:rPr>
          <w:rFonts w:hint="eastAsia" w:ascii="宋体" w:hAnsi="宋体" w:cs="宋体"/>
          <w:bCs/>
          <w:color w:val="auto"/>
          <w:kern w:val="0"/>
          <w:szCs w:val="21"/>
        </w:rPr>
        <w:t>通过</w:t>
      </w:r>
      <w:r>
        <w:rPr>
          <w:rFonts w:ascii="宋体" w:hAnsi="宋体" w:cs="宋体"/>
          <w:bCs/>
          <w:color w:val="auto"/>
          <w:kern w:val="0"/>
          <w:szCs w:val="21"/>
        </w:rPr>
        <w:t>20</w:t>
      </w:r>
      <w:r>
        <w:rPr>
          <w:rFonts w:hint="eastAsia" w:ascii="宋体" w:hAnsi="宋体" w:cs="宋体"/>
          <w:bCs/>
          <w:color w:val="auto"/>
          <w:kern w:val="0"/>
          <w:szCs w:val="21"/>
          <w:lang w:val="en-US" w:eastAsia="zh-CN"/>
        </w:rPr>
        <w:t>21</w:t>
      </w:r>
      <w:r>
        <w:rPr>
          <w:rFonts w:hint="eastAsia" w:ascii="宋体" w:hAnsi="宋体" w:cs="宋体"/>
          <w:bCs/>
          <w:color w:val="auto"/>
          <w:kern w:val="0"/>
          <w:szCs w:val="21"/>
        </w:rPr>
        <w:t>年</w:t>
      </w:r>
      <w:r>
        <w:rPr>
          <w:rFonts w:hint="eastAsia" w:ascii="宋体" w:hAnsi="宋体" w:cs="宋体"/>
          <w:bCs/>
          <w:color w:val="auto"/>
          <w:kern w:val="0"/>
          <w:szCs w:val="21"/>
          <w:lang w:val="en-US" w:eastAsia="zh-CN"/>
        </w:rPr>
        <w:t>12</w:t>
      </w:r>
      <w:r>
        <w:rPr>
          <w:rFonts w:hint="eastAsia" w:ascii="宋体" w:hAnsi="宋体" w:cs="宋体"/>
          <w:bCs/>
          <w:color w:val="auto"/>
          <w:kern w:val="0"/>
          <w:szCs w:val="21"/>
        </w:rPr>
        <w:t>月</w:t>
      </w:r>
      <w:r>
        <w:rPr>
          <w:rFonts w:hint="eastAsia" w:ascii="宋体" w:hAnsi="宋体" w:cs="宋体"/>
          <w:bCs/>
          <w:color w:val="auto"/>
          <w:kern w:val="0"/>
          <w:szCs w:val="21"/>
          <w:lang w:val="en-US" w:eastAsia="zh-CN"/>
        </w:rPr>
        <w:t>28上午-12月29日上午</w:t>
      </w:r>
      <w:r>
        <w:rPr>
          <w:rFonts w:hint="eastAsia" w:ascii="宋体" w:hAnsi="宋体" w:cs="宋体"/>
          <w:bCs/>
          <w:color w:val="auto"/>
          <w:kern w:val="0"/>
          <w:szCs w:val="21"/>
        </w:rPr>
        <w:t>，对</w:t>
      </w:r>
      <w:r>
        <w:rPr>
          <w:rFonts w:hint="eastAsia" w:ascii="宋体" w:hAnsi="宋体"/>
          <w:color w:val="auto"/>
          <w:szCs w:val="21"/>
          <w:lang w:eastAsia="zh-CN"/>
        </w:rPr>
        <w:t>东营市远信电器与技术有限责任公司</w:t>
      </w:r>
      <w:r>
        <w:rPr>
          <w:rFonts w:hint="eastAsia" w:ascii="宋体" w:hAnsi="宋体"/>
          <w:color w:val="auto"/>
          <w:szCs w:val="21"/>
          <w:lang w:val="en-US" w:eastAsia="zh-CN"/>
        </w:rPr>
        <w:t>,</w:t>
      </w:r>
      <w:r>
        <w:rPr>
          <w:rFonts w:hint="eastAsia" w:ascii="宋体" w:hAnsi="宋体" w:cs="宋体"/>
          <w:bCs/>
          <w:color w:val="auto"/>
          <w:kern w:val="0"/>
          <w:szCs w:val="21"/>
        </w:rPr>
        <w:t>测量管理</w:t>
      </w:r>
      <w:r>
        <w:rPr>
          <w:rFonts w:hint="eastAsia" w:ascii="宋体" w:hAnsi="宋体" w:cs="宋体"/>
          <w:bCs/>
          <w:color w:val="auto"/>
          <w:kern w:val="0"/>
          <w:szCs w:val="21"/>
          <w:lang w:eastAsia="zh-CN"/>
        </w:rPr>
        <w:t>体系</w:t>
      </w:r>
      <w:r>
        <w:rPr>
          <w:rFonts w:hint="eastAsia" w:ascii="宋体" w:hAnsi="宋体" w:cs="宋体"/>
          <w:bCs/>
          <w:color w:val="auto"/>
          <w:kern w:val="0"/>
          <w:szCs w:val="21"/>
        </w:rPr>
        <w:t>现场监督审核，验证了公司在测量管理体系</w:t>
      </w:r>
      <w:r>
        <w:rPr>
          <w:rFonts w:hint="eastAsia" w:ascii="宋体" w:hAnsi="宋体" w:cs="宋体"/>
          <w:bCs/>
          <w:color w:val="auto"/>
          <w:kern w:val="0"/>
          <w:szCs w:val="21"/>
          <w:lang w:eastAsia="zh-CN"/>
        </w:rPr>
        <w:t>监督后</w:t>
      </w:r>
      <w:r>
        <w:rPr>
          <w:rFonts w:hint="eastAsia" w:ascii="宋体" w:hAnsi="宋体" w:cs="宋体"/>
          <w:bCs/>
          <w:color w:val="auto"/>
          <w:kern w:val="0"/>
          <w:szCs w:val="21"/>
        </w:rPr>
        <w:t>一年内，</w:t>
      </w:r>
      <w:r>
        <w:rPr>
          <w:rFonts w:hint="eastAsia" w:asciiTheme="minorEastAsia" w:hAnsiTheme="minorEastAsia"/>
          <w:bCs/>
          <w:color w:val="auto"/>
          <w:szCs w:val="21"/>
        </w:rPr>
        <w:t>测量管理体系运作情况，</w:t>
      </w:r>
      <w:r>
        <w:rPr>
          <w:rFonts w:hint="eastAsia" w:ascii="宋体" w:hAnsi="宋体"/>
          <w:color w:val="auto"/>
          <w:szCs w:val="21"/>
        </w:rPr>
        <w:t>公司领导重视体系运行和管理，体系文件得到有效实施，企业管理规范，</w:t>
      </w:r>
      <w:r>
        <w:rPr>
          <w:rFonts w:hint="eastAsia" w:ascii="宋体" w:hAnsi="宋体"/>
          <w:color w:val="auto"/>
          <w:szCs w:val="21"/>
          <w:lang w:eastAsia="zh-CN"/>
        </w:rPr>
        <w:t>未增加关键</w:t>
      </w:r>
      <w:r>
        <w:rPr>
          <w:rFonts w:hint="eastAsia" w:ascii="宋体" w:hAnsi="宋体"/>
          <w:color w:val="auto"/>
          <w:szCs w:val="21"/>
        </w:rPr>
        <w:t>测量过程，</w:t>
      </w:r>
      <w:r>
        <w:rPr>
          <w:rFonts w:hint="eastAsia" w:ascii="宋体" w:hAnsi="宋体"/>
          <w:color w:val="auto"/>
          <w:szCs w:val="21"/>
          <w:lang w:eastAsia="zh-CN"/>
        </w:rPr>
        <w:t>测量</w:t>
      </w:r>
      <w:r>
        <w:rPr>
          <w:rFonts w:hint="eastAsia" w:ascii="宋体" w:hAnsi="宋体"/>
          <w:color w:val="auto"/>
          <w:szCs w:val="21"/>
        </w:rPr>
        <w:t>过程受控、监视方法正确有效，重要测量人员能力受控，测量设备、测量环境、测量软件、测量记录及外部供方管理等各项工作。</w:t>
      </w:r>
      <w:r>
        <w:rPr>
          <w:rFonts w:hint="eastAsia" w:ascii="宋体" w:hAnsi="宋体" w:cs="宋体"/>
          <w:bCs/>
          <w:color w:val="auto"/>
          <w:kern w:val="0"/>
          <w:szCs w:val="21"/>
        </w:rPr>
        <w:t>综上所述，审核组认为，</w:t>
      </w:r>
      <w:r>
        <w:rPr>
          <w:rFonts w:hint="eastAsia" w:ascii="宋体" w:hAnsi="宋体"/>
          <w:color w:val="auto"/>
          <w:szCs w:val="21"/>
          <w:lang w:eastAsia="zh-CN"/>
        </w:rPr>
        <w:t>东营市远信电器与技术有限责任公司</w:t>
      </w:r>
      <w:r>
        <w:rPr>
          <w:rFonts w:hint="eastAsia"/>
          <w:color w:val="auto"/>
          <w:szCs w:val="21"/>
        </w:rPr>
        <w:t>基本</w:t>
      </w:r>
      <w:r>
        <w:rPr>
          <w:rFonts w:hint="eastAsia" w:ascii="宋体" w:hAnsi="宋体" w:cs="宋体"/>
          <w:bCs/>
          <w:color w:val="auto"/>
          <w:kern w:val="0"/>
          <w:szCs w:val="21"/>
        </w:rPr>
        <w:t>符合</w:t>
      </w:r>
      <w:r>
        <w:rPr>
          <w:rFonts w:ascii="宋体" w:hAnsi="宋体" w:cs="宋体"/>
          <w:bCs/>
          <w:color w:val="auto"/>
          <w:kern w:val="0"/>
          <w:szCs w:val="21"/>
        </w:rPr>
        <w:t>GB/T 19022-2003</w:t>
      </w:r>
      <w:r>
        <w:rPr>
          <w:rFonts w:hint="eastAsia" w:ascii="宋体" w:hAnsi="宋体" w:cs="宋体"/>
          <w:bCs/>
          <w:color w:val="auto"/>
          <w:kern w:val="0"/>
          <w:szCs w:val="21"/>
        </w:rPr>
        <w:t>标准要求，对体系运行具有持续的有效性、符合性予以肯定。</w:t>
      </w:r>
      <w:r>
        <w:rPr>
          <w:rFonts w:hint="eastAsia" w:ascii="宋体" w:hAnsi="宋体" w:eastAsia="宋体" w:cs="宋体"/>
          <w:bCs/>
          <w:color w:val="auto"/>
          <w:kern w:val="0"/>
          <w:szCs w:val="21"/>
        </w:rPr>
        <w:t>建议报请北京</w:t>
      </w:r>
      <w:r>
        <w:rPr>
          <w:rFonts w:hint="eastAsia" w:ascii="宋体" w:hAnsi="宋体" w:eastAsia="宋体" w:cs="宋体"/>
          <w:bCs/>
          <w:kern w:val="0"/>
          <w:szCs w:val="21"/>
        </w:rPr>
        <w:t>国标联合认证有限公司批准通过监督审核。</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为了促进支持企业测量管理体系持续提高，提出以下建议：</w:t>
      </w:r>
    </w:p>
    <w:p>
      <w:pPr>
        <w:widowControl/>
        <w:numPr>
          <w:ilvl w:val="0"/>
          <w:numId w:val="1"/>
        </w:numPr>
        <w:spacing w:line="360" w:lineRule="auto"/>
        <w:ind w:firstLine="420" w:firstLineChars="200"/>
        <w:rPr>
          <w:rFonts w:ascii="Times New Roman" w:hAnsi="Times New Roman" w:cs="Times New Roman"/>
          <w:bCs/>
          <w:kern w:val="0"/>
          <w:szCs w:val="21"/>
        </w:rPr>
      </w:pPr>
      <w:r>
        <w:rPr>
          <w:rFonts w:hint="eastAsia" w:ascii="Times New Roman" w:hAnsi="Times New Roman" w:cs="Times New Roman"/>
          <w:bCs/>
          <w:kern w:val="0"/>
          <w:szCs w:val="21"/>
          <w:lang w:val="en-US" w:eastAsia="zh-CN"/>
        </w:rPr>
        <w:t>建议企业内审员参加培训、满足测量体系</w:t>
      </w:r>
      <w:r>
        <w:rPr>
          <w:rFonts w:hint="eastAsia" w:ascii="Times New Roman" w:hAnsi="Times New Roman" w:cs="Times New Roman"/>
          <w:bCs/>
          <w:kern w:val="0"/>
          <w:szCs w:val="21"/>
          <w:lang w:eastAsia="zh-CN"/>
        </w:rPr>
        <w:t>认证工作的需求。</w:t>
      </w:r>
    </w:p>
    <w:p>
      <w:pPr>
        <w:spacing w:line="240" w:lineRule="auto"/>
        <w:ind w:firstLine="420" w:firstLineChars="200"/>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2、按产品要求，使用规范法定计量单位，以追溯记录的有效性。</w:t>
      </w:r>
    </w:p>
    <w:p>
      <w:pPr>
        <w:widowControl/>
        <w:numPr>
          <w:ilvl w:val="0"/>
          <w:numId w:val="0"/>
        </w:numPr>
        <w:spacing w:line="360" w:lineRule="auto"/>
        <w:ind w:firstLine="420" w:firstLineChars="200"/>
        <w:rPr>
          <w:rFonts w:ascii="Times New Roman" w:hAnsi="Times New Roman" w:cs="Times New Roman"/>
          <w:bCs/>
          <w:kern w:val="0"/>
          <w:szCs w:val="21"/>
        </w:rPr>
      </w:pPr>
      <w:r>
        <w:rPr>
          <w:rFonts w:hint="eastAsia" w:ascii="Times New Roman" w:hAnsi="Times New Roman" w:cs="Times New Roman"/>
          <w:bCs/>
          <w:kern w:val="0"/>
          <w:szCs w:val="21"/>
          <w:lang w:val="en-US" w:eastAsia="zh-CN"/>
        </w:rPr>
        <w:t xml:space="preserve">3、 </w:t>
      </w:r>
      <w:r>
        <w:rPr>
          <w:rFonts w:ascii="Times New Roman" w:hAnsi="Times New Roman" w:cs="Times New Roman"/>
          <w:bCs/>
          <w:kern w:val="0"/>
          <w:szCs w:val="21"/>
        </w:rPr>
        <w:t>继续对企业内从原材料进厂检验、生产过程控制、产品出厂检验等环节的测量过程进行识别并确认验证，增加测量设备参与全过程管理的内容，使计量、质量管理工作融为一体，便于进一步提升企业管理水平和提高产品质量。</w:t>
      </w:r>
    </w:p>
    <w:p>
      <w:pPr>
        <w:widowControl/>
        <w:spacing w:line="360" w:lineRule="auto"/>
        <w:rPr>
          <w:rFonts w:hint="default" w:ascii="宋体" w:cs="宋体"/>
          <w:b/>
          <w:bCs/>
          <w:kern w:val="0"/>
          <w:szCs w:val="21"/>
          <w:lang w:val="en-US"/>
        </w:rPr>
      </w:pPr>
      <w:r>
        <w:rPr>
          <w:rFonts w:ascii="宋体" w:hAnsi="宋体" w:eastAsia="宋体" w:cs="宋体"/>
          <w:b/>
          <w:bCs/>
          <w:kern w:val="0"/>
          <w:szCs w:val="21"/>
        </w:rPr>
        <w:t>审核组组长（签字）：</w:t>
      </w:r>
      <w:r>
        <w:rPr>
          <w:rFonts w:hint="eastAsia" w:ascii="宋体" w:hAnsi="宋体" w:eastAsia="宋体" w:cs="宋体"/>
          <w:b/>
          <w:bCs/>
          <w:kern w:val="0"/>
          <w:szCs w:val="21"/>
        </w:rPr>
        <w:t xml:space="preserve">  </w:t>
      </w:r>
      <w:r>
        <w:rPr>
          <w:rFonts w:ascii="宋体" w:hAnsi="宋体" w:cs="宋体"/>
          <w:b/>
          <w:bCs/>
          <w:kern w:val="0"/>
          <w:szCs w:val="21"/>
        </w:rPr>
        <w:t xml:space="preserve"> </w:t>
      </w:r>
      <w:r>
        <w:rPr>
          <w:rFonts w:hint="eastAsia" w:ascii="Times New Roman" w:hAnsi="Times New Roman" w:eastAsia="宋体" w:cs="Times New Roman"/>
          <w:b/>
          <w:bCs/>
          <w:sz w:val="21"/>
          <w:szCs w:val="21"/>
          <w:lang w:eastAsia="zh-CN"/>
        </w:rPr>
        <w:drawing>
          <wp:inline distT="0" distB="0" distL="114300" distR="114300">
            <wp:extent cx="534035" cy="283845"/>
            <wp:effectExtent l="0" t="0" r="18415" b="1905"/>
            <wp:docPr id="1" name="图片 1" descr="85bc90f7b6220dcee5aa82fda5a7c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5bc90f7b6220dcee5aa82fda5a7cf9"/>
                    <pic:cNvPicPr>
                      <a:picLocks noChangeAspect="1"/>
                    </pic:cNvPicPr>
                  </pic:nvPicPr>
                  <pic:blipFill>
                    <a:blip r:embed="rId6"/>
                    <a:srcRect l="12695" t="5128"/>
                    <a:stretch>
                      <a:fillRect/>
                    </a:stretch>
                  </pic:blipFill>
                  <pic:spPr>
                    <a:xfrm>
                      <a:off x="0" y="0"/>
                      <a:ext cx="534035" cy="283845"/>
                    </a:xfrm>
                    <a:prstGeom prst="rect">
                      <a:avLst/>
                    </a:prstGeom>
                    <a:noFill/>
                    <a:ln>
                      <a:noFill/>
                    </a:ln>
                  </pic:spPr>
                </pic:pic>
              </a:graphicData>
            </a:graphic>
          </wp:inline>
        </w:drawing>
      </w:r>
      <w:r>
        <w:rPr>
          <w:rFonts w:ascii="宋体" w:hAnsi="宋体" w:cs="宋体"/>
          <w:b/>
          <w:bCs/>
          <w:kern w:val="0"/>
          <w:szCs w:val="21"/>
        </w:rPr>
        <w:t xml:space="preserve">      </w:t>
      </w:r>
      <w:r>
        <w:rPr>
          <w:rFonts w:hint="eastAsia" w:ascii="宋体" w:hAnsi="宋体" w:cs="宋体"/>
          <w:b/>
          <w:bCs/>
          <w:kern w:val="0"/>
          <w:szCs w:val="21"/>
          <w:lang w:val="en-US" w:eastAsia="zh-CN"/>
        </w:rPr>
        <w:t xml:space="preserve">                  </w:t>
      </w:r>
      <w:r>
        <w:rPr>
          <w:rFonts w:ascii="宋体" w:hAnsi="宋体" w:cs="宋体"/>
          <w:b/>
          <w:bCs/>
          <w:kern w:val="0"/>
          <w:szCs w:val="21"/>
        </w:rPr>
        <w:t xml:space="preserve"> </w:t>
      </w:r>
      <w:r>
        <w:rPr>
          <w:rFonts w:hint="eastAsia" w:ascii="宋体" w:hAnsi="宋体" w:cs="宋体"/>
          <w:b/>
          <w:bCs/>
          <w:kern w:val="0"/>
          <w:szCs w:val="21"/>
        </w:rPr>
        <w:t>日期：</w:t>
      </w:r>
      <w:r>
        <w:rPr>
          <w:rFonts w:hint="eastAsia" w:ascii="宋体" w:hAnsi="宋体" w:cs="宋体"/>
          <w:b/>
          <w:bCs/>
          <w:kern w:val="0"/>
          <w:szCs w:val="21"/>
          <w:lang w:val="en-US" w:eastAsia="zh-CN"/>
        </w:rPr>
        <w:t>2021.12.29</w:t>
      </w:r>
    </w:p>
    <w:p>
      <w:pPr>
        <w:widowControl/>
        <w:spacing w:line="360" w:lineRule="auto"/>
        <w:rPr>
          <w:rFonts w:hint="eastAsia" w:ascii="宋体" w:hAnsi="宋体" w:cs="宋体"/>
          <w:b/>
          <w:bCs/>
          <w:kern w:val="0"/>
          <w:szCs w:val="21"/>
        </w:rPr>
      </w:pPr>
    </w:p>
    <w:p>
      <w:pPr>
        <w:widowControl/>
        <w:spacing w:line="360" w:lineRule="auto"/>
        <w:rPr>
          <w:rFonts w:ascii="宋体" w:hAnsi="宋体" w:cs="宋体"/>
          <w:b/>
          <w:bCs/>
          <w:kern w:val="0"/>
          <w:szCs w:val="21"/>
        </w:rPr>
      </w:pPr>
      <w:r>
        <w:rPr>
          <w:rFonts w:hint="eastAsia" w:ascii="宋体" w:hAnsi="宋体" w:cs="宋体"/>
          <w:b/>
          <w:bCs/>
          <w:kern w:val="0"/>
          <w:szCs w:val="21"/>
        </w:rPr>
        <w:t>北京国标联合认证有限公司</w:t>
      </w:r>
      <w:r>
        <w:rPr>
          <w:rFonts w:hint="eastAsia" w:ascii="宋体" w:hAnsi="宋体" w:cs="宋体"/>
          <w:b/>
          <w:bCs/>
          <w:kern w:val="0"/>
          <w:szCs w:val="21"/>
          <w:lang w:val="en-US" w:eastAsia="zh-CN"/>
        </w:rPr>
        <w:t xml:space="preserve"> </w:t>
      </w:r>
      <w:r>
        <w:rPr>
          <w:rFonts w:hint="eastAsia" w:ascii="宋体" w:hAnsi="宋体" w:cs="宋体"/>
          <w:b/>
          <w:bCs/>
          <w:kern w:val="0"/>
          <w:szCs w:val="21"/>
        </w:rPr>
        <w:t xml:space="preserve">(盖章)                      </w:t>
      </w:r>
      <w:r>
        <w:rPr>
          <w:rFonts w:hint="eastAsia" w:ascii="宋体" w:hAnsi="宋体" w:cs="宋体"/>
          <w:b/>
          <w:bCs/>
          <w:kern w:val="0"/>
          <w:szCs w:val="21"/>
          <w:lang w:val="en-US" w:eastAsia="zh-CN"/>
        </w:rPr>
        <w:t xml:space="preserve">  </w:t>
      </w:r>
      <w:r>
        <w:rPr>
          <w:rFonts w:hint="eastAsia" w:ascii="宋体" w:hAnsi="宋体" w:cs="宋体"/>
          <w:b/>
          <w:bCs/>
          <w:kern w:val="0"/>
          <w:szCs w:val="21"/>
        </w:rPr>
        <w:t xml:space="preserve"> 日期：</w:t>
      </w:r>
    </w:p>
    <w:p>
      <w:pPr>
        <w:widowControl/>
        <w:spacing w:line="360" w:lineRule="auto"/>
        <w:rPr>
          <w:rFonts w:ascii="宋体" w:hAnsi="宋体" w:eastAsia="宋体" w:cs="宋体"/>
          <w:kern w:val="0"/>
          <w:szCs w:val="28"/>
        </w:rPr>
      </w:pPr>
      <w:r>
        <w:rPr>
          <w:rFonts w:ascii="宋体" w:hAnsi="宋体" w:cs="宋体"/>
          <w:b/>
          <w:bCs/>
          <w:kern w:val="0"/>
          <w:szCs w:val="21"/>
        </w:rPr>
        <w:t xml:space="preserve"> </w:t>
      </w: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swiss"/>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3" w:name="OLE_LINK1"/>
    <w:r>
      <w:drawing>
        <wp:anchor distT="0" distB="0" distL="114300" distR="114300" simplePos="0" relativeHeight="251662336" behindDoc="0" locked="0" layoutInCell="1" allowOverlap="1">
          <wp:simplePos x="0" y="0"/>
          <wp:positionH relativeFrom="column">
            <wp:posOffset>-436245</wp:posOffset>
          </wp:positionH>
          <wp:positionV relativeFrom="paragraph">
            <wp:posOffset>90170</wp:posOffset>
          </wp:positionV>
          <wp:extent cx="481965" cy="485140"/>
          <wp:effectExtent l="0" t="0" r="13335" b="1016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60288;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246" w:firstLineChars="14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1312;mso-width-relative:page;mso-height-relative:page;" coordsize="21600,21600">
          <v:path arrowok="t"/>
          <v:fill focussize="0,0"/>
          <v:stroke/>
          <v:imagedata o:title=""/>
          <o:lock v:ext="edit"/>
        </v:line>
      </w:pict>
    </w:r>
    <w:bookmarkEnd w:id="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9F708A"/>
    <w:multiLevelType w:val="singleLevel"/>
    <w:tmpl w:val="039F708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6947B5"/>
    <w:rsid w:val="00DB47DA"/>
    <w:rsid w:val="011662FE"/>
    <w:rsid w:val="019126B1"/>
    <w:rsid w:val="03B215BD"/>
    <w:rsid w:val="03E563DD"/>
    <w:rsid w:val="049D6929"/>
    <w:rsid w:val="05FD5174"/>
    <w:rsid w:val="0746361E"/>
    <w:rsid w:val="07A22038"/>
    <w:rsid w:val="07F6331D"/>
    <w:rsid w:val="081433FF"/>
    <w:rsid w:val="0866484A"/>
    <w:rsid w:val="08AF38B7"/>
    <w:rsid w:val="08C9577B"/>
    <w:rsid w:val="09851FB9"/>
    <w:rsid w:val="0CC1767E"/>
    <w:rsid w:val="0D632258"/>
    <w:rsid w:val="0DE1402D"/>
    <w:rsid w:val="0E594764"/>
    <w:rsid w:val="1051458B"/>
    <w:rsid w:val="10FC7F7C"/>
    <w:rsid w:val="11261FFC"/>
    <w:rsid w:val="11326DC6"/>
    <w:rsid w:val="12730AAA"/>
    <w:rsid w:val="145913C3"/>
    <w:rsid w:val="18895737"/>
    <w:rsid w:val="1ACA15A5"/>
    <w:rsid w:val="1B701893"/>
    <w:rsid w:val="1D644926"/>
    <w:rsid w:val="1E0679E2"/>
    <w:rsid w:val="1E507DB8"/>
    <w:rsid w:val="1FB73513"/>
    <w:rsid w:val="20245D89"/>
    <w:rsid w:val="21C517C9"/>
    <w:rsid w:val="2253747B"/>
    <w:rsid w:val="228F589D"/>
    <w:rsid w:val="238D590A"/>
    <w:rsid w:val="23E3439E"/>
    <w:rsid w:val="259C7022"/>
    <w:rsid w:val="25FE255B"/>
    <w:rsid w:val="27816C16"/>
    <w:rsid w:val="27954974"/>
    <w:rsid w:val="28636850"/>
    <w:rsid w:val="299E6A98"/>
    <w:rsid w:val="2B030917"/>
    <w:rsid w:val="2C4F0E75"/>
    <w:rsid w:val="2E0B23F6"/>
    <w:rsid w:val="2E42048A"/>
    <w:rsid w:val="2E9535C2"/>
    <w:rsid w:val="2F3769D8"/>
    <w:rsid w:val="2F98679A"/>
    <w:rsid w:val="313D2294"/>
    <w:rsid w:val="31647056"/>
    <w:rsid w:val="321A44F5"/>
    <w:rsid w:val="328D7A02"/>
    <w:rsid w:val="32A1519D"/>
    <w:rsid w:val="33E861D3"/>
    <w:rsid w:val="356A4FB1"/>
    <w:rsid w:val="363F5E2D"/>
    <w:rsid w:val="36BD22BD"/>
    <w:rsid w:val="382A5B08"/>
    <w:rsid w:val="3868400B"/>
    <w:rsid w:val="38880CD0"/>
    <w:rsid w:val="39571FC5"/>
    <w:rsid w:val="39A51630"/>
    <w:rsid w:val="39EA584B"/>
    <w:rsid w:val="3AA660B4"/>
    <w:rsid w:val="3BAF7989"/>
    <w:rsid w:val="3F903830"/>
    <w:rsid w:val="408706D3"/>
    <w:rsid w:val="4220715D"/>
    <w:rsid w:val="44C42B5F"/>
    <w:rsid w:val="46184AD1"/>
    <w:rsid w:val="46771B56"/>
    <w:rsid w:val="49F92A91"/>
    <w:rsid w:val="4A126716"/>
    <w:rsid w:val="4A987304"/>
    <w:rsid w:val="4ABD7835"/>
    <w:rsid w:val="4BD16FB0"/>
    <w:rsid w:val="4EC027DE"/>
    <w:rsid w:val="4F822A24"/>
    <w:rsid w:val="505F1232"/>
    <w:rsid w:val="50FA73B2"/>
    <w:rsid w:val="5133471D"/>
    <w:rsid w:val="52977792"/>
    <w:rsid w:val="52D06ACC"/>
    <w:rsid w:val="53E204EF"/>
    <w:rsid w:val="53FD699A"/>
    <w:rsid w:val="548C10AE"/>
    <w:rsid w:val="553819D4"/>
    <w:rsid w:val="55846126"/>
    <w:rsid w:val="56A52AE7"/>
    <w:rsid w:val="56AF49FF"/>
    <w:rsid w:val="57961E25"/>
    <w:rsid w:val="57EE0A87"/>
    <w:rsid w:val="583773EE"/>
    <w:rsid w:val="58FA7A57"/>
    <w:rsid w:val="5ACA30F8"/>
    <w:rsid w:val="5AD7341B"/>
    <w:rsid w:val="5B4471AA"/>
    <w:rsid w:val="5BED2E50"/>
    <w:rsid w:val="5D6E5D7B"/>
    <w:rsid w:val="5D8B40D4"/>
    <w:rsid w:val="5E541A14"/>
    <w:rsid w:val="5FEB3DF1"/>
    <w:rsid w:val="60EE17B6"/>
    <w:rsid w:val="60FF6850"/>
    <w:rsid w:val="612E2E61"/>
    <w:rsid w:val="61880FEB"/>
    <w:rsid w:val="63243021"/>
    <w:rsid w:val="63244996"/>
    <w:rsid w:val="64815E69"/>
    <w:rsid w:val="64882719"/>
    <w:rsid w:val="64F25EF3"/>
    <w:rsid w:val="653A413B"/>
    <w:rsid w:val="65B354C1"/>
    <w:rsid w:val="66B707C5"/>
    <w:rsid w:val="66C76995"/>
    <w:rsid w:val="66DA4EE7"/>
    <w:rsid w:val="678058D7"/>
    <w:rsid w:val="69443018"/>
    <w:rsid w:val="695375A4"/>
    <w:rsid w:val="69DD4616"/>
    <w:rsid w:val="6A101968"/>
    <w:rsid w:val="6A756F3B"/>
    <w:rsid w:val="6BC61023"/>
    <w:rsid w:val="6DB43658"/>
    <w:rsid w:val="6E4A2C41"/>
    <w:rsid w:val="6F03617D"/>
    <w:rsid w:val="6F843906"/>
    <w:rsid w:val="6FCB3BEE"/>
    <w:rsid w:val="70F168D6"/>
    <w:rsid w:val="716D6BC3"/>
    <w:rsid w:val="71A75E13"/>
    <w:rsid w:val="72FF0D20"/>
    <w:rsid w:val="74B41BED"/>
    <w:rsid w:val="756C46F1"/>
    <w:rsid w:val="75C30245"/>
    <w:rsid w:val="7916525E"/>
    <w:rsid w:val="79880B95"/>
    <w:rsid w:val="7BC7517F"/>
    <w:rsid w:val="7BE74319"/>
    <w:rsid w:val="7E0A279A"/>
    <w:rsid w:val="7F383F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1</TotalTime>
  <ScaleCrop>false</ScaleCrop>
  <LinksUpToDate>false</LinksUpToDate>
  <CharactersWithSpaces>2163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hp</cp:lastModifiedBy>
  <cp:lastPrinted>2017-09-01T06:24:00Z</cp:lastPrinted>
  <dcterms:modified xsi:type="dcterms:W3CDTF">2021-12-30T13:33:18Z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26855577654D4779AED556AE7C30A6C9</vt:lpwstr>
  </property>
</Properties>
</file>