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赣州市兴钧餐饮有限公司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2021年12月27日 上午至2021年12月27日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