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041"/>
        <w:gridCol w:w="1367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延边长白山印务有限公司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工艺技术研发管理部（实验室）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Y25993135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（0～220）g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bookmarkStart w:id="2" w:name="_GoBack"/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0≤e≤50g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±0.0005g</w:t>
            </w:r>
          </w:p>
          <w:bookmarkEnd w:id="2"/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50＜e≤200g±0.001g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200＜e≤220g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±0.0015g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F1等级砝码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延边朝鲜族自治州计量检定测试所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08月25日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工艺技术研发管理部（实验室）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智能电子拉力试验机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HZ202012ZDL-152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10N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深圳广测检测技术有限公司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11月26日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工艺技术研发管理部（实验室）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千分尺测厚仪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1810107040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107A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量块：4等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深圳品信检测科技有限公司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07月05日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工程信息管理部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2009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（0～1.6）MPa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精密数字压力表：0.05级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延边市食品药品检验中心（延边市产品质量检测中心）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07月19日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工程信息管理部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4323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（0～2.5）MPa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精密数字压力表：0.05级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延边市食品药品检验中心（延边市产品质量检测中心）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07月14日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/>
                <w:szCs w:val="21"/>
              </w:rPr>
              <w:t>品质监控管理部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负责溯源。公司测量设备全部委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延边朝鲜族自治州计量检定测试所、深圳广测检测技术有限公司、深圳品信检测科技有限公司、延边市食品药品检验中心（延边市产品质量检测中心）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检定/校准，校准/检定证书由</w:t>
            </w:r>
            <w:r>
              <w:rPr>
                <w:rFonts w:hint="eastAsia"/>
                <w:szCs w:val="21"/>
              </w:rPr>
              <w:t>品质监控管理部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16255" cy="278765"/>
                  <wp:effectExtent l="0" t="0" r="17145" b="6985"/>
                  <wp:docPr id="1" name="图片 1" descr="29818af51e399d52a2553c70477a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9818af51e399d52a2553c70477acb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19B92">
                                  <a:alpha val="100000"/>
                                </a:srgbClr>
                              </a:clrFrom>
                              <a:clrTo>
                                <a:srgbClr val="A19B9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907" t="52792" r="66473" b="43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20397"/>
    <w:rsid w:val="09DC6708"/>
    <w:rsid w:val="13095050"/>
    <w:rsid w:val="276A2C4F"/>
    <w:rsid w:val="34D4287D"/>
    <w:rsid w:val="45216CE3"/>
    <w:rsid w:val="583E4CD4"/>
    <w:rsid w:val="59716E80"/>
    <w:rsid w:val="5F365186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2021-12-17T03:12:01Z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B693F23641094DAEA2F5A150C559EDBD</vt:lpwstr>
  </property>
</Properties>
</file>