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Theme="minorEastAsia" w:hAnsiTheme="minorEastAsia" w:eastAsiaTheme="minorEastAsia"/>
          <w:b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 w:val="0"/>
          <w:color w:val="000000"/>
          <w:sz w:val="32"/>
          <w:szCs w:val="32"/>
        </w:rPr>
        <w:t>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55"/>
        <w:gridCol w:w="1165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before="120"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抽样计划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涉及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条款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主管领导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陪同人员：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刘军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before="120" w:line="32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喻荣秋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审核时间：202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审核条款：</w:t>
            </w: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  <w:p>
            <w:pPr>
              <w:ind w:firstLine="1050" w:firstLineChars="500"/>
              <w:rPr>
                <w:rFonts w:hint="eastAsia" w:cs="Arial" w:asciiTheme="minorEastAsia" w:hAnsiTheme="minorEastAsia" w:eastAsiaTheme="minorEastAsia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5.3/8.1/8.2/9.1.1/9.2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组织的岗位、职责和权限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QE5.3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、环境、职业健康安全体系审核，纠正并控制管理体系实施过程中的不合格项，参与管理评审；及时与环保主管部门交流，跟踪项目相关的最新环保要求；本部门的环境因素、危险源的识别评价和控制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具体目标如下：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1）公司质量、环境和职业健康安全管理体系的归口管理。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2）负责组织内部审核、外部审核、管理评审中纠正和预防措施的实施和内部沟通工作；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3）编制岗位能力要求，负责组织实施职工培训工作，为质量管理体系有效运行提供合格的人力资源；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4）负责对本公司人员教育和管理工作，不断提高人员的质量意识和素质，做好生产过程中的与其他部门的配合接口工作；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5）负责文件、资料的管理工作；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6）建立劳动管理规章制度，负责职工劳动合同的签订及履行；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11）负责内部工作文件、行业管理文件和其它应予归档材料的及时登记、分类、立卷归档，各类资料的分类存放要科学合理，便于查找。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12）负责及时中止作废标准归档和资料销毁工作。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13）负责公司外来人员的等级，保证公司公共财产的安全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14）负责监督公司员工上下班打卡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15）及时完成公司领导交付的各项临时工作。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16）公司财务统筹管理。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17）做好公司财务分析为企业企业正常运作提供财务支持。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18）识别并控制本部门的环境因素及危险因素，落实本部门的体系目标和指标。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管理目标及其实现的策划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QEO6.2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公司对管理体系所需的相关职能、层次和过程设定管理目标。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查到综合部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质量、环境、职业健康安全目标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结果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考核时间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考核人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1、文件准确发放率100%（在使用处可获得有效版本）。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100%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2021.9.30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2、培训计划实施率100%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100%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2021.9.30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3、特殊岗位持证上岗率100%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100%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2021.9.30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4、安排人员体检,覆盖率达到100%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100%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2021.9.30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5、按规定处置固体废弃物——固体废弃物违规处置率为0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0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2021.9.30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考核人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。目标可测量，与公司QEO管理方针一致。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综合部主任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介绍：公司规定每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季度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按公司管理目标考核要求统计考核公司管理目标完成情况，提交管理评审会议。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目标均可量化可测量。20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1-9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目标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考核，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管理目标均已完成。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Q7.1.2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根据各部门的需要配备管理体系运行所需的人员，均经过相关培训，有公司任命证书。目前公司有员工总数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人各部门人员配备基本充分，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理部共15人，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主管2人，配备的人员及职能满足体系要求，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基本符合要求。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组织的知识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Q7.1.6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各岗位能力规定的要求包括了专业技能、岗位资格、能力、工作经验等。提供《主要任职岗位要求》主要对公司各部门负责人及员工能力要求分别从年龄、教育程度、经验、经历、技能要求等方面进行了规定，定期进行评价，根据结果采取措施，通常是培训。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年培训计划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包括环保三废治理、污染预防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培训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生产质量验收规范/环境职业健康安全法规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标准，管理手册、高空坠落应急预案，生产关键过程、特殊过程的控制/环境因素识别/危险源识别等9项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抽查《培训记录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》：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GB/T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9001、GB/T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4001 和GB/T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001标准条款介绍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国内外环境形势·质量/环境保护/职业健康安全的重要性·实施质量、环境和职业健康安全管理体系的意义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·质量/环境和职业健康安全方针·E/SMS整体策划(目标指标、管理方案、组织机构及职责)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日企业存在的重大环境问题和不可接受风险、工程质量通病。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管理方针（质量、环境、职业健康安全）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管理目标（质量、环境目标指标、职业健康安全目标环境管理方案、职业健康安全管理方案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抽查人员资质情况：特种作业人员登记台帐，有12人。 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王黎明     低压电工作业证：        证号：T420802197607052410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2021.6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刘亚平     低压电工作业证：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T4208811198512014075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2024.12.7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李兵       熔化焊接与热切割作业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T420882219760611553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2024.5.8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刘炎兵     汽车修理工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证书编号：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1017150000400316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：永久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喻兵       熔化焊接与热切割作业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T420803197909094815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2023.8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常宙       装载机操作              证号：1919JX01ZZD11650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2025.5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于建功     装载机操作              证号：1919JDD1ZZD11763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2025.5  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抽查人员资质情况： 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安全生产管理资格证：    柴晓亮     证号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：429005198401104316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安全生产管理资格证：    阳  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证书编号：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420984198709051421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职业健康主要负责人：    周   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证书编号：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420822199005081844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2021年7月19日三级安全教育培训等级表，共19人。有姓名、性别、工龄、培训日期、培训内容、授课人、考试成绩。抽见考试卷：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李志强      92分            龚文军      90分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喻兵        99分            许斌        89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陈洪        88分            董瑞        95分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李功明      94分            李兵        95分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345565" cy="1009015"/>
                  <wp:effectExtent l="0" t="0" r="10795" b="12065"/>
                  <wp:docPr id="5" name="图片 5" descr="bb7b25436c641e2bb04f55c4f5a1a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b7b25436c641e2bb04f55c4f5a1a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431290" cy="1073785"/>
                  <wp:effectExtent l="0" t="0" r="1270" b="8255"/>
                  <wp:docPr id="6" name="图片 6" descr="fd1b7afe66981bb3ce42d46f6be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d1b7afe66981bb3ce42d46f6be12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362075" cy="1021715"/>
                  <wp:effectExtent l="0" t="0" r="9525" b="14605"/>
                  <wp:docPr id="8" name="图片 8" descr="c3d090dd4d26aa75f35bcdada94c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3d090dd4d26aa75f35bcdada94c4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224280" cy="917575"/>
                  <wp:effectExtent l="0" t="0" r="10160" b="12065"/>
                  <wp:docPr id="9" name="图片 9" descr="c997c6a090f1cb637feaa589bebac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997c6a090f1cb637feaa589bebacc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291590" cy="968375"/>
                  <wp:effectExtent l="0" t="0" r="3810" b="6985"/>
                  <wp:docPr id="10" name="图片 10" descr="d2762e7f9636364c8d935373c3507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2762e7f9636364c8d935373c35071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公司食堂人员资质：王芹梅，有效期：2022年4月28日。王正英有效期：2022年4月29日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189355" cy="1578610"/>
                  <wp:effectExtent l="0" t="0" r="14605" b="6350"/>
                  <wp:docPr id="2" name="图片 2" descr="00eedcc6c879f1d93b52416bcf156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0eedcc6c879f1d93b52416bcf156c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151890" cy="1543050"/>
                  <wp:effectExtent l="0" t="0" r="6350" b="11430"/>
                  <wp:docPr id="3" name="图片 3" descr="d34b61a0171b8ca8b6a0d2a0ef959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4b61a0171b8ca8b6a0d2a0ef959f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意识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QEO7.3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询问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综合部主任周晨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、员工知道公司方针，知道所在的工作岗位的质量、环境、职业健康安全目标，也了解自己的工作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会影响组织资质量、环境、职业健康安全管理体系的有效运行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的效果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绩效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监视测量 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Q9.1.1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对管理体系的过程能力进行监视和测量，通过内审对管理体系运行的符合性和有效性进行监测，结论管理体系总体运行有效。通过管理评审对管理体系的充分性、有效性和适宜性作了肯定的评价。通过目标考评，监测管理体系运行的有效性，提供了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1-9月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的目标完成情况，公司及各部门的管理目标均能完成。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每周对扬尘噪声检查，有噪声扬尘检测检查表，PM2.5最大值109，噪声60分贝。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QEO7.5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制定了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管理手册、程序文件、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管理制度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及记录。公司编制的程序文件基本符合标准要求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所有程序文件，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记录表单满足公司目前的质量体系运行的需要。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查管理手册、程序文件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实施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有受控标识，有效版本。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查外来文件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《中华人民共和国产品质量法》、《中华人民共和国合同法》、《中华人民共和国公司法》、《中华人民共和国环境保护法》、《中华人民共和国安全生产法》、《中华人民共和国反不正当竞争法》《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湖北省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劳动保护监察条例》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公司编制并实施了《记录管理程序》对管理体系记录的标识、贮存、保护、检索、保存期限和处置等作了明确规定，符合要求。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《记录清单》，有内审报告、供方评价表、危险源清单、环境因素清单、管理评审报告等记录。明确了记录名称、编号、使用保存部门、保存期限等，并经审核后使用。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外来记录（如顾客投诉记录等）由相关部门负责保管、归档。</w:t>
            </w:r>
          </w:p>
          <w:p>
            <w:pPr>
              <w:spacing w:line="32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记录控制基本有效。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内部审核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QEO9.2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综合部于2021年11月17-18日</w:t>
            </w:r>
            <w:r>
              <w:rPr>
                <w:rFonts w:hint="eastAsia"/>
              </w:rPr>
              <w:t>组织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 xml:space="preserve">公司质量、环境、职业健康安全管理体系内部审核，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年度审核计划：其内容已包括了审核目的、范围、准则、审核方法、日期</w:t>
            </w:r>
            <w:r>
              <w:rPr>
                <w:rFonts w:hint="eastAsia"/>
                <w:lang w:val="en-US" w:eastAsia="zh-CN"/>
              </w:rPr>
              <w:t>等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审核目的：验证质量、环境、职业健康安全管理体系对标准的符合性及实施的有效性和充分性，持续改进管理体系。</w:t>
            </w:r>
          </w:p>
          <w:p>
            <w:pPr>
              <w:spacing w:line="320" w:lineRule="exact"/>
              <w:ind w:left="420" w:leftChars="200" w:firstLine="0" w:firstLineChars="0"/>
            </w:pPr>
            <w:r>
              <w:rPr>
                <w:rFonts w:hint="eastAsia"/>
              </w:rPr>
              <w:t>审核依据：GB/T19001-2016、GB/T24001-2016、GB/T45001-2020的标准、体系文件、顾客要求、相关法律法规等。内部审核实施：组长：</w:t>
            </w:r>
            <w:r>
              <w:rPr>
                <w:rFonts w:hint="eastAsia"/>
                <w:lang w:val="en-US" w:eastAsia="zh-CN"/>
              </w:rPr>
              <w:t>胡金龙</w:t>
            </w:r>
            <w:r>
              <w:rPr>
                <w:rFonts w:hint="eastAsia"/>
              </w:rPr>
              <w:t xml:space="preserve">   审核组成员：</w:t>
            </w:r>
            <w:r>
              <w:rPr>
                <w:rFonts w:hint="eastAsia"/>
                <w:lang w:val="en-US" w:eastAsia="zh-CN"/>
              </w:rPr>
              <w:t>周晨、刘玉华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本次内审发现1个一般不符合项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营销部“未见合同评审记录”</w:t>
            </w:r>
            <w:r>
              <w:rPr>
                <w:rFonts w:hint="eastAsia"/>
              </w:rPr>
              <w:t>。责任部门已分析了原因并采取了纠正措施，按要求进行了整改，最后内审员进行了验证，纠正措施实施有效。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《内部审核报告》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内部审核结论：，对现场审核进行了综述，对质量、环境和职业健康安全管理体系进行了符合性的综合评价，最后结论为：通过两天的内部审核，审核组认为公司的质量、环境、职业健康安全管理体系在正常运行，且取得了一定的效果，现场审核通过。</w:t>
            </w:r>
            <w:r>
              <w:rPr>
                <w:rFonts w:hint="eastAsia"/>
                <w:lang w:val="en-US" w:eastAsia="zh-CN"/>
              </w:rPr>
              <w:t>内审基本符合。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50" w:type="dxa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spacing w:val="-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Cs w:val="21"/>
              </w:rPr>
              <w:t>不合格和纠正措施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QEO10.2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公司对内审时发现的不符合项进行了原因分析、纠正措施和验证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内审问题进行了原因分析，制定纠正措施，整改并验证。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查见不合格、不符合事件处理表，编号JL453-01,信息陈述：2021年5月12号在车间检查，废弃物没有按规定进行分类存放，可回收和不可回收的废弃物混放。调查分析记录：车间操作工环保意识不强，对废弃物的分类掌握不够。纠正措施：在生产现场教育废弃物如何分类存放，对废弃物的处理按规定交相关部门处理，2021.5.13。验证结果：已进行教育，废弃物按规定分类处理。2021.5.14</w:t>
            </w:r>
          </w:p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公司对纠正及预防措施的管理基本符合要求。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环境因素/危险源</w:t>
            </w: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EO6.1.2</w:t>
            </w:r>
          </w:p>
          <w:p>
            <w:pPr>
              <w:spacing w:line="320" w:lineRule="exact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查有：《环境因素识别与评价控制程序》、《危险源辩识风险评价控制程序》。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查到《环境因素识别评价汇总表》，</w:t>
            </w:r>
            <w:r>
              <w:rPr>
                <w:rFonts w:hint="eastAsia" w:cs="楷体" w:asciiTheme="minorEastAsia" w:hAnsiTheme="minorEastAsia" w:eastAsia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识别了本部门在办公、</w:t>
            </w:r>
            <w:r>
              <w:rPr>
                <w:rFonts w:hint="eastAsia" w:cs="楷体" w:asciiTheme="minorEastAsia" w:hAnsiTheme="minorEastAsia" w:eastAsiaTheme="minorEastAsia"/>
                <w:szCs w:val="21"/>
                <w:lang w:val="en-US" w:eastAsia="zh-CN"/>
              </w:rPr>
              <w:t>生产、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检验</w:t>
            </w:r>
            <w:r>
              <w:rPr>
                <w:rFonts w:hint="eastAsia" w:cs="楷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szCs w:val="21"/>
                <w:lang w:val="en-US" w:eastAsia="zh-CN"/>
              </w:rPr>
              <w:t>销售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等各有关过程的环境因素，包括日光灯更换、电脑使用用电消耗、办公纸张消耗、不合格品排放等环境因素。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经评价涉及部门有2项重要环境因素：火灾发生、</w:t>
            </w:r>
            <w:r>
              <w:rPr>
                <w:rFonts w:hint="eastAsia" w:cs="楷体" w:asciiTheme="minorEastAsia" w:hAnsiTheme="minorEastAsia" w:eastAsiaTheme="minorEastAsia"/>
                <w:szCs w:val="21"/>
                <w:lang w:val="en-US" w:eastAsia="zh-CN"/>
              </w:rPr>
              <w:t>粉尘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排放。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控制措施：固废分类存放、垃圾等由</w:t>
            </w:r>
            <w:r>
              <w:rPr>
                <w:rFonts w:hint="eastAsia" w:cs="楷体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负责按规定处置，日常监督检查和培训教育，消防配备有消防器材等措施</w:t>
            </w:r>
          </w:p>
          <w:p>
            <w:pPr>
              <w:snapToGrid w:val="0"/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 xml:space="preserve">    查到《危险源识别及风险评价表》，识别了办公过程的电脑、复印辐射、办公电器漏电触电、检验活动过程中的玻璃仪器划伤等危险源。</w:t>
            </w:r>
          </w:p>
          <w:p>
            <w:pPr>
              <w:spacing w:line="320" w:lineRule="exact"/>
              <w:ind w:firstLine="468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经评价涉及部门的不可接受危险源：火灾和触电事故的发生。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320" w:lineRule="exact"/>
              <w:ind w:firstLine="315" w:firstLineChars="15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 xml:space="preserve"> 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合规义务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合规评价</w:t>
            </w: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color w:val="auto"/>
                <w:szCs w:val="21"/>
              </w:rPr>
              <w:t>EO：</w:t>
            </w: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6.1.3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9.1.2 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提供有《法律与其它要求控制程序》（编号：JMFT-CX-2019-04），对合规义务管控的职责、识别范围、获取的方法与渠道、法律法规传达、评审和确认等做出了规定。提供有《法律法规和其他要求清单》（编号：JL612-01，编制：周晨2021年6月15日，审批：胡金龙2021年6月15日）。环境管理体系方面：针对污水排放、噪声排放、废气排放、固废、危废的贮存/排放/使用、火灾、产品自身污染、节能降耗等环境因素识别了包括《中华人民共和国水污染防治法》、《中华人民共和国水法》、《水污染物排放许可证管理暂行办法》、《中华人民共和国环境噪声污染防治法》、《中华人民共和国大气污染防治法》、《中华人民共和国固体废弃物污染环境防治法》、《国家危险废物名录》、《中华人民共和国安全生产法》、《危险废物转移联单管理办法》、《中华人民共和国消防法》、《中华人民共和国节约能源法》</w:t>
            </w:r>
            <w:bookmarkStart w:id="0" w:name="_GoBack"/>
            <w:bookmarkEnd w:id="0"/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、《中华人民共和国环境保护法》等共计86条与环境相关的企业适用法律法规及其他要求，并识别到了对应法规中适用的章节和/或条款。职业健康与安全方面：识别了《中华人民共和国安全生产法》、《中华人民共和国道路交通安全法》、《中华人民共和国消防法》、《中华人民共和国未成年人保护法》、《中华人民共和国建筑法》、《中华人民共和国环境噪声污染防治法》、《中华人民共和国传染病防治法》、《中华人民共和国职业病防治法》等共计81条适用的法律法规。企业于2021年6月23日进行了合规性评价，提供有《2021年度合规性评价报告》，参加评审的人员有周晨、胡金龙、柴晓亮和刘玉华。评价的结论是：“从本年度检查的结果来看，我公司没有违反国家法律、法规及相关标准，能严格遵守国家有关环境和职业健康安全管理方面的相关规定，密切关注法律法规的变化，并适时调整，严格按体系标准执行。未发生重大安全生产事故，无环境污染事件发生，未发生尘肺病、传染病及其他卫生防疫问题事件，无个人或单位投诉。执行结果是有效的。对公司的环保意识和环境管理水平的提高起到了明显的促进作用。企业合规义务管控基本符合要求。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措施的策划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EO: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6.1.4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制定了《法律、法规和其他要求识别管理程序》、《合规性评价程序》、《绩效测量和监视程序》，每年对公司适用的合规义务进行识别更新并定期评价、检查。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经组织评价，组织策划的措施基本能够满足风险和机遇应对需要，能够与识别的风险和机遇对产品符合性的潜在影响相适应，识别出不可接受风险为：潜在火灾、爆炸、触电并制定了相应的措施具体参见《重要环境因素清单》、《不可接受风险清单》，该过程的控制基本满足标准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运行控制</w:t>
            </w:r>
          </w:p>
        </w:tc>
        <w:tc>
          <w:tcPr>
            <w:tcW w:w="855" w:type="dxa"/>
          </w:tcPr>
          <w:p>
            <w:pPr>
              <w:spacing w:line="320" w:lineRule="exact"/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 xml:space="preserve">EO8.1 </w:t>
            </w: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zCs w:val="21"/>
                <w:lang w:val="en-US" w:eastAsia="zh-CN"/>
              </w:rPr>
              <w:t>8.1.2/8.1.3</w:t>
            </w:r>
            <w:r>
              <w:rPr>
                <w:rFonts w:hint="eastAsia" w:cs="Arial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1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公司制定实施了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环境因素识别与评价控制程序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危险源识别与风险评价控制程序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生产和服务控制程序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应急准备和响应控制程序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安全管理制度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固体废物处理管理制度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消防管理制度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等环境与安全管理制度。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产品的检验采取现场查验合格证、外观、数量、包装的方式进行。现场检验时检验员严格遵守公司的规章制度。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检验时注意滑倒、碰伤、砸伤，合格品回用，不合格品退货处理。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 xml:space="preserve">    查《废弃物处置统计表》，部门办公产生的废纸、采购产品的废旧包装物等废弃物，处理办法：集中卖给回收站；危废（灯管）分类存放，硒鼓墨盒回收交办公耗材公司折价回收。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 xml:space="preserve">    视频现场巡视办公区域灭火器正常，电线、电气插座完整，未见隐患。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办公纸张采取双面打印，人走灯灭，定期检查水管跑冒滴漏。</w:t>
            </w:r>
          </w:p>
          <w:p>
            <w:pPr>
              <w:spacing w:line="40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综合部主任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介绍：在采购日常管理工作中保障用于安全、环保方面的费用足额、及时筹措到位。确保在劳保用品的购置、安全生产的物资准备、健康体检方面提供资金保障；公司按月为员工办理了法规要求的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险，未发生欠缴情况。员工工资、补贴亦未发生拖欠现象。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EO8.2</w:t>
            </w:r>
          </w:p>
        </w:tc>
        <w:tc>
          <w:tcPr>
            <w:tcW w:w="1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cs="楷体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2021年4月8日综合部参加了公司组织的消防演练。2021年7月28日，触电应急演练，参加人有周晨签字，有报告，有演练照片。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tab w:relativeTo="margin" w:alignment="center" w:leader="none"/>
      </w: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介绍明：不符合标注N</w:t>
      </w: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155" w:firstLineChars="550"/>
      <w:jc w:val="left"/>
      <w:rPr>
        <w:rStyle w:val="24"/>
        <w:rFonts w:hint="default"/>
      </w:rPr>
    </w:pPr>
    <w:r>
      <w:rPr>
        <w:rStyle w:val="24"/>
        <w:rFonts w:hint="default"/>
      </w:rPr>
      <w:t>北京国标联合认证有限公司</w:t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ind w:firstLine="1440" w:firstLineChars="800"/>
                </w:pPr>
                <w:r>
                  <w:rPr>
                    <w:rFonts w:hint="eastAsia"/>
                    <w:sz w:val="18"/>
                    <w:szCs w:val="18"/>
                  </w:rPr>
                  <w:t>IISC-B-II-12(05版</w:t>
                </w:r>
              </w:p>
              <w:p/>
            </w:txbxContent>
          </v:textbox>
        </v:shape>
      </w:pict>
    </w:r>
    <w:r>
      <w:rPr>
        <w:rStyle w:val="24"/>
        <w:rFonts w:hint="default"/>
      </w:rPr>
      <w:t xml:space="preserve">  </w:t>
    </w:r>
    <w: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-246380</wp:posOffset>
          </wp:positionV>
          <wp:extent cx="481330" cy="484505"/>
          <wp:effectExtent l="0" t="0" r="6350" b="317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4"/>
        <w:rFonts w:hint="default"/>
      </w:rPr>
      <w:t xml:space="preserve">     </w:t>
    </w:r>
    <w:r>
      <w:rPr>
        <w:rStyle w:val="24"/>
        <w:rFonts w:hint="eastAsia"/>
        <w:lang w:val="en-US"/>
      </w:rPr>
      <w:t xml:space="preserve"> </w:t>
    </w:r>
    <w:r>
      <w:rPr>
        <w:rStyle w:val="24"/>
        <w:rFonts w:hint="default"/>
      </w:rPr>
      <w:t xml:space="preserve"> </w:t>
    </w:r>
    <w:r>
      <w:rPr>
        <w:rStyle w:val="24"/>
        <w:rFonts w:hint="eastAsia"/>
        <w:lang w:val="en-US"/>
      </w:rPr>
      <w:t xml:space="preserve"> </w:t>
    </w:r>
    <w:r>
      <w:rPr>
        <w:rStyle w:val="24"/>
        <w:rFonts w:hint="default"/>
        <w:w w:val="90"/>
      </w:rPr>
      <w:t>Beijing International Standard united Certification Co.,Ltd.</w:t>
    </w:r>
    <w:r>
      <w:rPr>
        <w:rStyle w:val="24"/>
        <w:rFonts w:hint="default"/>
        <w:w w:val="90"/>
        <w:szCs w:val="21"/>
      </w:rPr>
      <w:t xml:space="preserve">  </w:t>
    </w:r>
    <w:r>
      <w:rPr>
        <w:rStyle w:val="24"/>
        <w:rFonts w:hint="default"/>
        <w:w w:val="90"/>
        <w:sz w:val="20"/>
      </w:rPr>
      <w:t xml:space="preserve"> </w:t>
    </w:r>
    <w:r>
      <w:rPr>
        <w:rStyle w:val="24"/>
        <w:rFonts w:hint="default"/>
        <w:w w:val="90"/>
      </w:rPr>
      <w:t xml:space="preserve"> 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9A9"/>
    <w:rsid w:val="0000752D"/>
    <w:rsid w:val="00015489"/>
    <w:rsid w:val="000237F6"/>
    <w:rsid w:val="00024902"/>
    <w:rsid w:val="0003373A"/>
    <w:rsid w:val="000375C6"/>
    <w:rsid w:val="00046099"/>
    <w:rsid w:val="00057CF8"/>
    <w:rsid w:val="00080DCA"/>
    <w:rsid w:val="000A18C8"/>
    <w:rsid w:val="000B5555"/>
    <w:rsid w:val="000C5D0F"/>
    <w:rsid w:val="000D280C"/>
    <w:rsid w:val="000D3816"/>
    <w:rsid w:val="0010132B"/>
    <w:rsid w:val="00113349"/>
    <w:rsid w:val="001266C2"/>
    <w:rsid w:val="00141C60"/>
    <w:rsid w:val="00146847"/>
    <w:rsid w:val="00147640"/>
    <w:rsid w:val="001818E5"/>
    <w:rsid w:val="0019457F"/>
    <w:rsid w:val="001A2D7F"/>
    <w:rsid w:val="001A4632"/>
    <w:rsid w:val="001A71A3"/>
    <w:rsid w:val="001B02A9"/>
    <w:rsid w:val="001C0456"/>
    <w:rsid w:val="001C38A3"/>
    <w:rsid w:val="001D1CAB"/>
    <w:rsid w:val="001F2187"/>
    <w:rsid w:val="001F5202"/>
    <w:rsid w:val="001F7315"/>
    <w:rsid w:val="00214559"/>
    <w:rsid w:val="002160EE"/>
    <w:rsid w:val="002207A5"/>
    <w:rsid w:val="002218DD"/>
    <w:rsid w:val="00227438"/>
    <w:rsid w:val="00253426"/>
    <w:rsid w:val="00254821"/>
    <w:rsid w:val="00262E39"/>
    <w:rsid w:val="00282379"/>
    <w:rsid w:val="00292E40"/>
    <w:rsid w:val="002A54B9"/>
    <w:rsid w:val="002D30C8"/>
    <w:rsid w:val="002D5568"/>
    <w:rsid w:val="002F343A"/>
    <w:rsid w:val="00304AB7"/>
    <w:rsid w:val="0031396D"/>
    <w:rsid w:val="003145C8"/>
    <w:rsid w:val="003151E5"/>
    <w:rsid w:val="00320EDF"/>
    <w:rsid w:val="003319C7"/>
    <w:rsid w:val="0033303C"/>
    <w:rsid w:val="00337922"/>
    <w:rsid w:val="00340867"/>
    <w:rsid w:val="00360E55"/>
    <w:rsid w:val="00367AB0"/>
    <w:rsid w:val="00372506"/>
    <w:rsid w:val="0037457B"/>
    <w:rsid w:val="003807AD"/>
    <w:rsid w:val="00380837"/>
    <w:rsid w:val="00381FA9"/>
    <w:rsid w:val="0039404F"/>
    <w:rsid w:val="003951EC"/>
    <w:rsid w:val="003A198A"/>
    <w:rsid w:val="003B31AA"/>
    <w:rsid w:val="003E11CB"/>
    <w:rsid w:val="003E1EC0"/>
    <w:rsid w:val="003F7828"/>
    <w:rsid w:val="003F7E69"/>
    <w:rsid w:val="00403B34"/>
    <w:rsid w:val="00407CDA"/>
    <w:rsid w:val="00410914"/>
    <w:rsid w:val="00425CA8"/>
    <w:rsid w:val="00460254"/>
    <w:rsid w:val="004642F2"/>
    <w:rsid w:val="00465F3C"/>
    <w:rsid w:val="004705BF"/>
    <w:rsid w:val="00484344"/>
    <w:rsid w:val="00485B1D"/>
    <w:rsid w:val="004929ED"/>
    <w:rsid w:val="0049424F"/>
    <w:rsid w:val="004A009F"/>
    <w:rsid w:val="004B42B7"/>
    <w:rsid w:val="004C50BC"/>
    <w:rsid w:val="004F61CD"/>
    <w:rsid w:val="005050C2"/>
    <w:rsid w:val="00513E0E"/>
    <w:rsid w:val="005210E4"/>
    <w:rsid w:val="00522F77"/>
    <w:rsid w:val="00530179"/>
    <w:rsid w:val="005340FE"/>
    <w:rsid w:val="00536930"/>
    <w:rsid w:val="00542920"/>
    <w:rsid w:val="0054377F"/>
    <w:rsid w:val="00547D07"/>
    <w:rsid w:val="00556543"/>
    <w:rsid w:val="00562830"/>
    <w:rsid w:val="00564E53"/>
    <w:rsid w:val="00570475"/>
    <w:rsid w:val="00572642"/>
    <w:rsid w:val="005766BC"/>
    <w:rsid w:val="00576829"/>
    <w:rsid w:val="00580148"/>
    <w:rsid w:val="00587B31"/>
    <w:rsid w:val="0059010E"/>
    <w:rsid w:val="00592545"/>
    <w:rsid w:val="005A528E"/>
    <w:rsid w:val="005A55E0"/>
    <w:rsid w:val="005C1DB5"/>
    <w:rsid w:val="005C79A4"/>
    <w:rsid w:val="005D3984"/>
    <w:rsid w:val="005D542C"/>
    <w:rsid w:val="005D5C6F"/>
    <w:rsid w:val="005F2E83"/>
    <w:rsid w:val="005F3118"/>
    <w:rsid w:val="00600B1B"/>
    <w:rsid w:val="0060265C"/>
    <w:rsid w:val="00604357"/>
    <w:rsid w:val="00611C3A"/>
    <w:rsid w:val="00613B06"/>
    <w:rsid w:val="006216DA"/>
    <w:rsid w:val="00635D08"/>
    <w:rsid w:val="00636F30"/>
    <w:rsid w:val="00644FE2"/>
    <w:rsid w:val="00657163"/>
    <w:rsid w:val="0066139D"/>
    <w:rsid w:val="006640A1"/>
    <w:rsid w:val="0067189C"/>
    <w:rsid w:val="0067640C"/>
    <w:rsid w:val="00676BA0"/>
    <w:rsid w:val="006B14E9"/>
    <w:rsid w:val="006B4E10"/>
    <w:rsid w:val="006C0DD3"/>
    <w:rsid w:val="006E1CE0"/>
    <w:rsid w:val="006E386A"/>
    <w:rsid w:val="006E678B"/>
    <w:rsid w:val="006E7988"/>
    <w:rsid w:val="006F00A0"/>
    <w:rsid w:val="006F1258"/>
    <w:rsid w:val="006F45A6"/>
    <w:rsid w:val="007223CD"/>
    <w:rsid w:val="00726634"/>
    <w:rsid w:val="007279F6"/>
    <w:rsid w:val="00734AF4"/>
    <w:rsid w:val="00750A89"/>
    <w:rsid w:val="00755614"/>
    <w:rsid w:val="007642B1"/>
    <w:rsid w:val="0076534A"/>
    <w:rsid w:val="007745EA"/>
    <w:rsid w:val="007757F3"/>
    <w:rsid w:val="007813D2"/>
    <w:rsid w:val="007B087D"/>
    <w:rsid w:val="007E6AEB"/>
    <w:rsid w:val="00814EA8"/>
    <w:rsid w:val="008209B3"/>
    <w:rsid w:val="00836DDF"/>
    <w:rsid w:val="00846FD9"/>
    <w:rsid w:val="00847FF2"/>
    <w:rsid w:val="0086624A"/>
    <w:rsid w:val="008718A2"/>
    <w:rsid w:val="008734C4"/>
    <w:rsid w:val="008760B4"/>
    <w:rsid w:val="00886CF2"/>
    <w:rsid w:val="008973EE"/>
    <w:rsid w:val="008A3A63"/>
    <w:rsid w:val="008A4C5F"/>
    <w:rsid w:val="008C2D56"/>
    <w:rsid w:val="008D2790"/>
    <w:rsid w:val="008D6D23"/>
    <w:rsid w:val="008E265D"/>
    <w:rsid w:val="008E4ADC"/>
    <w:rsid w:val="008F699C"/>
    <w:rsid w:val="00906BA5"/>
    <w:rsid w:val="00906DFD"/>
    <w:rsid w:val="00962A39"/>
    <w:rsid w:val="009649FA"/>
    <w:rsid w:val="00971600"/>
    <w:rsid w:val="00983EBA"/>
    <w:rsid w:val="0099659E"/>
    <w:rsid w:val="009973B4"/>
    <w:rsid w:val="009B67C4"/>
    <w:rsid w:val="009C28C1"/>
    <w:rsid w:val="009F219B"/>
    <w:rsid w:val="009F7EED"/>
    <w:rsid w:val="00A02D48"/>
    <w:rsid w:val="00A13B66"/>
    <w:rsid w:val="00A261E2"/>
    <w:rsid w:val="00A27C46"/>
    <w:rsid w:val="00A73387"/>
    <w:rsid w:val="00A74AD9"/>
    <w:rsid w:val="00A826EA"/>
    <w:rsid w:val="00A91EBF"/>
    <w:rsid w:val="00A957D1"/>
    <w:rsid w:val="00A96449"/>
    <w:rsid w:val="00A97098"/>
    <w:rsid w:val="00AB70ED"/>
    <w:rsid w:val="00AE0DDF"/>
    <w:rsid w:val="00AE1252"/>
    <w:rsid w:val="00AE398E"/>
    <w:rsid w:val="00AF0AAB"/>
    <w:rsid w:val="00B014C7"/>
    <w:rsid w:val="00B070D6"/>
    <w:rsid w:val="00B22F36"/>
    <w:rsid w:val="00B266C3"/>
    <w:rsid w:val="00B4608C"/>
    <w:rsid w:val="00B613CB"/>
    <w:rsid w:val="00B63E18"/>
    <w:rsid w:val="00B71EC8"/>
    <w:rsid w:val="00B7798A"/>
    <w:rsid w:val="00B85ADB"/>
    <w:rsid w:val="00BA5456"/>
    <w:rsid w:val="00BA6FB5"/>
    <w:rsid w:val="00BD4090"/>
    <w:rsid w:val="00BF381D"/>
    <w:rsid w:val="00BF597E"/>
    <w:rsid w:val="00BF5C9B"/>
    <w:rsid w:val="00C03CB4"/>
    <w:rsid w:val="00C15667"/>
    <w:rsid w:val="00C15D2A"/>
    <w:rsid w:val="00C17C94"/>
    <w:rsid w:val="00C4055F"/>
    <w:rsid w:val="00C51A36"/>
    <w:rsid w:val="00C55228"/>
    <w:rsid w:val="00C55C1B"/>
    <w:rsid w:val="00C66CB1"/>
    <w:rsid w:val="00C75770"/>
    <w:rsid w:val="00C838CC"/>
    <w:rsid w:val="00C87ACE"/>
    <w:rsid w:val="00C95C4A"/>
    <w:rsid w:val="00CA0D11"/>
    <w:rsid w:val="00CA1E6D"/>
    <w:rsid w:val="00CA26C4"/>
    <w:rsid w:val="00CA7912"/>
    <w:rsid w:val="00CB4A1E"/>
    <w:rsid w:val="00CC06A9"/>
    <w:rsid w:val="00CD6CED"/>
    <w:rsid w:val="00CE315A"/>
    <w:rsid w:val="00CE79E9"/>
    <w:rsid w:val="00CF6DF6"/>
    <w:rsid w:val="00D06F59"/>
    <w:rsid w:val="00D379FD"/>
    <w:rsid w:val="00D442D9"/>
    <w:rsid w:val="00D4771D"/>
    <w:rsid w:val="00D6292E"/>
    <w:rsid w:val="00D7317C"/>
    <w:rsid w:val="00D76FAF"/>
    <w:rsid w:val="00D8388C"/>
    <w:rsid w:val="00D90860"/>
    <w:rsid w:val="00D91A6D"/>
    <w:rsid w:val="00D97620"/>
    <w:rsid w:val="00DA5B0A"/>
    <w:rsid w:val="00DA7C22"/>
    <w:rsid w:val="00DB328D"/>
    <w:rsid w:val="00DC331A"/>
    <w:rsid w:val="00DC4503"/>
    <w:rsid w:val="00DC5FFD"/>
    <w:rsid w:val="00DD161C"/>
    <w:rsid w:val="00DD7E5B"/>
    <w:rsid w:val="00DE307B"/>
    <w:rsid w:val="00DE385E"/>
    <w:rsid w:val="00DE3D9F"/>
    <w:rsid w:val="00E01FB7"/>
    <w:rsid w:val="00E07157"/>
    <w:rsid w:val="00E14109"/>
    <w:rsid w:val="00E30342"/>
    <w:rsid w:val="00E33DE0"/>
    <w:rsid w:val="00E54628"/>
    <w:rsid w:val="00E73AE3"/>
    <w:rsid w:val="00E75126"/>
    <w:rsid w:val="00E75C2F"/>
    <w:rsid w:val="00E838E4"/>
    <w:rsid w:val="00E83970"/>
    <w:rsid w:val="00EA663C"/>
    <w:rsid w:val="00EB0164"/>
    <w:rsid w:val="00EB232D"/>
    <w:rsid w:val="00EC3C1B"/>
    <w:rsid w:val="00EC414D"/>
    <w:rsid w:val="00ED0F62"/>
    <w:rsid w:val="00ED3BAF"/>
    <w:rsid w:val="00ED4470"/>
    <w:rsid w:val="00EE3632"/>
    <w:rsid w:val="00F014AB"/>
    <w:rsid w:val="00F0575B"/>
    <w:rsid w:val="00F064A7"/>
    <w:rsid w:val="00F07028"/>
    <w:rsid w:val="00F07768"/>
    <w:rsid w:val="00F11894"/>
    <w:rsid w:val="00F15A8E"/>
    <w:rsid w:val="00F24012"/>
    <w:rsid w:val="00F3523B"/>
    <w:rsid w:val="00F42D5A"/>
    <w:rsid w:val="00F503AA"/>
    <w:rsid w:val="00F55474"/>
    <w:rsid w:val="00F67B25"/>
    <w:rsid w:val="00F67CAF"/>
    <w:rsid w:val="00F740A1"/>
    <w:rsid w:val="00F86CC2"/>
    <w:rsid w:val="00F87080"/>
    <w:rsid w:val="00F95C35"/>
    <w:rsid w:val="00FB3B96"/>
    <w:rsid w:val="00FC0B48"/>
    <w:rsid w:val="05CD3D24"/>
    <w:rsid w:val="09EB2825"/>
    <w:rsid w:val="0C947C19"/>
    <w:rsid w:val="0E5960DC"/>
    <w:rsid w:val="0F3A364B"/>
    <w:rsid w:val="108219C2"/>
    <w:rsid w:val="158A6F8F"/>
    <w:rsid w:val="15D84673"/>
    <w:rsid w:val="176C603E"/>
    <w:rsid w:val="1D802020"/>
    <w:rsid w:val="1EC66CF6"/>
    <w:rsid w:val="1FEC4CF5"/>
    <w:rsid w:val="20887714"/>
    <w:rsid w:val="225E7539"/>
    <w:rsid w:val="2365523D"/>
    <w:rsid w:val="263450F0"/>
    <w:rsid w:val="271C4959"/>
    <w:rsid w:val="2B64129A"/>
    <w:rsid w:val="2E33092C"/>
    <w:rsid w:val="31716D4D"/>
    <w:rsid w:val="32436E58"/>
    <w:rsid w:val="330541D1"/>
    <w:rsid w:val="349C72C9"/>
    <w:rsid w:val="35746C75"/>
    <w:rsid w:val="39E77C78"/>
    <w:rsid w:val="40C95012"/>
    <w:rsid w:val="4502092E"/>
    <w:rsid w:val="47E92683"/>
    <w:rsid w:val="494D109E"/>
    <w:rsid w:val="4BF865B6"/>
    <w:rsid w:val="4C3D4EF6"/>
    <w:rsid w:val="4E1251BD"/>
    <w:rsid w:val="50A75DFC"/>
    <w:rsid w:val="52717451"/>
    <w:rsid w:val="534F5997"/>
    <w:rsid w:val="541039EA"/>
    <w:rsid w:val="55CB345B"/>
    <w:rsid w:val="56813E40"/>
    <w:rsid w:val="5C417146"/>
    <w:rsid w:val="5EA12B9A"/>
    <w:rsid w:val="602241DC"/>
    <w:rsid w:val="690544DC"/>
    <w:rsid w:val="6A6D54DB"/>
    <w:rsid w:val="6DCB4007"/>
    <w:rsid w:val="6FAA60A5"/>
    <w:rsid w:val="71835BBE"/>
    <w:rsid w:val="72F5085A"/>
    <w:rsid w:val="74244E8E"/>
    <w:rsid w:val="7BBC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link w:val="33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6">
    <w:name w:val="Plain Text"/>
    <w:basedOn w:val="1"/>
    <w:link w:val="39"/>
    <w:qFormat/>
    <w:uiPriority w:val="0"/>
    <w:rPr>
      <w:rFonts w:ascii="宋体" w:hAnsi="Courier New" w:cs="Courier New" w:eastAsiaTheme="minorEastAsia"/>
      <w:szCs w:val="21"/>
    </w:rPr>
  </w:style>
  <w:style w:type="paragraph" w:styleId="7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6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itle"/>
    <w:basedOn w:val="1"/>
    <w:link w:val="30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8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9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20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21">
    <w:name w:val="批注框文本 Char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7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8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9">
    <w:name w:val="gaogao1"/>
    <w:basedOn w:val="15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30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33">
    <w:name w:val="正文文本缩进 Char"/>
    <w:basedOn w:val="15"/>
    <w:link w:val="5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3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6">
    <w:name w:val="正文文本缩进 3 Char"/>
    <w:basedOn w:val="15"/>
    <w:link w:val="10"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37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8">
    <w:name w:val="纯文本 Char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9">
    <w:name w:val="纯文本 Char1"/>
    <w:basedOn w:val="15"/>
    <w:link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4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954E5-ACDE-4F68-81EB-90C9E5B8A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4389</Words>
  <Characters>25019</Characters>
  <Lines>208</Lines>
  <Paragraphs>58</Paragraphs>
  <TotalTime>4</TotalTime>
  <ScaleCrop>false</ScaleCrop>
  <LinksUpToDate>false</LinksUpToDate>
  <CharactersWithSpaces>29350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2020-06-08T20:30:00Z</dcterms:created>
  <dc:creator>微软用户</dc:creator>
  <cp:lastModifiedBy>秋子(喻荣秋)</cp:lastModifiedBy>
  <dcterms:modified xsi:type="dcterms:W3CDTF">2022-01-09T05:15:50Z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