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管理层</w:t>
            </w:r>
            <w:r>
              <w:rPr>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总经理-王小兵；管代-胡金龙；员工代表-宋少白、刘军</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lang w:val="en-US" w:eastAsia="zh-CN"/>
              </w:rPr>
              <w:t xml:space="preserve">  </w:t>
            </w:r>
            <w:r>
              <w:rPr>
                <w:rFonts w:hint="eastAsia"/>
                <w:sz w:val="21"/>
                <w:szCs w:val="21"/>
              </w:rPr>
              <w:t>审核时间：</w:t>
            </w:r>
            <w:bookmarkStart w:id="1" w:name="审核日期"/>
            <w:r>
              <w:rPr>
                <w:sz w:val="21"/>
                <w:szCs w:val="21"/>
              </w:rPr>
              <w:t>2021年</w:t>
            </w:r>
            <w:r>
              <w:rPr>
                <w:rFonts w:hint="eastAsia"/>
                <w:sz w:val="21"/>
                <w:szCs w:val="21"/>
                <w:lang w:val="en-US" w:eastAsia="zh-CN"/>
              </w:rPr>
              <w:t xml:space="preserve"> 1</w:t>
            </w:r>
            <w:r>
              <w:rPr>
                <w:sz w:val="21"/>
                <w:szCs w:val="21"/>
              </w:rPr>
              <w:t>月</w:t>
            </w:r>
            <w:r>
              <w:rPr>
                <w:rFonts w:hint="eastAsia"/>
                <w:sz w:val="21"/>
                <w:szCs w:val="21"/>
                <w:lang w:val="en-US" w:eastAsia="zh-CN"/>
              </w:rPr>
              <w:t xml:space="preserve"> 8</w:t>
            </w:r>
            <w:r>
              <w:rPr>
                <w:sz w:val="21"/>
                <w:szCs w:val="21"/>
              </w:rPr>
              <w:t xml:space="preserve">日 </w:t>
            </w:r>
            <w:bookmarkEnd w:id="1"/>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line="360" w:lineRule="auto"/>
              <w:rPr>
                <w:sz w:val="21"/>
                <w:szCs w:val="21"/>
              </w:rPr>
            </w:pPr>
            <w:r>
              <w:rPr>
                <w:rFonts w:hint="eastAsia"/>
                <w:sz w:val="21"/>
                <w:szCs w:val="21"/>
              </w:rPr>
              <w:t>审核条款：</w:t>
            </w:r>
            <w:r>
              <w:rPr>
                <w:sz w:val="21"/>
                <w:szCs w:val="21"/>
              </w:rPr>
              <w:t xml:space="preserve"> </w:t>
            </w:r>
          </w:p>
          <w:p>
            <w:pPr>
              <w:snapToGrid w:val="0"/>
              <w:spacing w:line="360" w:lineRule="auto"/>
              <w:rPr>
                <w:rFonts w:ascii="宋体" w:hAnsi="宋体" w:cs="宋体"/>
                <w:bCs/>
                <w:sz w:val="21"/>
                <w:szCs w:val="21"/>
              </w:rPr>
            </w:pPr>
            <w:r>
              <w:rPr>
                <w:rFonts w:hint="eastAsia" w:ascii="宋体" w:hAnsi="宋体" w:cs="宋体"/>
                <w:bCs/>
                <w:sz w:val="21"/>
                <w:szCs w:val="21"/>
              </w:rPr>
              <w:t>Q:</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w:t>
            </w:r>
            <w:r>
              <w:rPr>
                <w:rFonts w:hint="eastAsia" w:ascii="宋体" w:hAnsi="宋体" w:cs="宋体"/>
                <w:bCs/>
                <w:sz w:val="21"/>
                <w:szCs w:val="21"/>
              </w:rPr>
              <w:t>/</w:t>
            </w:r>
            <w:r>
              <w:rPr>
                <w:rFonts w:ascii="宋体" w:hAnsi="宋体" w:cs="宋体"/>
                <w:bCs/>
                <w:sz w:val="21"/>
                <w:szCs w:val="21"/>
              </w:rPr>
              <w:t>6.1</w:t>
            </w:r>
            <w:r>
              <w:rPr>
                <w:rFonts w:hint="eastAsia" w:ascii="宋体" w:hAnsi="宋体" w:cs="宋体"/>
                <w:bCs/>
                <w:sz w:val="21"/>
                <w:szCs w:val="21"/>
              </w:rPr>
              <w:t>/</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6.3</w:t>
            </w:r>
            <w:r>
              <w:rPr>
                <w:rFonts w:hint="eastAsia" w:ascii="宋体" w:hAnsi="宋体" w:cs="宋体"/>
                <w:bCs/>
                <w:sz w:val="21"/>
                <w:szCs w:val="21"/>
              </w:rPr>
              <w:t>/9.1.1/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r>
              <w:rPr>
                <w:rFonts w:hint="eastAsia" w:ascii="宋体" w:hAnsi="宋体" w:cs="宋体"/>
                <w:bCs/>
                <w:sz w:val="21"/>
                <w:szCs w:val="21"/>
              </w:rPr>
              <w:t>;</w:t>
            </w:r>
          </w:p>
          <w:p>
            <w:pPr>
              <w:snapToGrid w:val="0"/>
              <w:spacing w:line="360" w:lineRule="auto"/>
              <w:jc w:val="left"/>
              <w:rPr>
                <w:rFonts w:ascii="宋体" w:hAnsi="宋体" w:cs="宋体"/>
                <w:sz w:val="21"/>
                <w:szCs w:val="21"/>
              </w:rPr>
            </w:pPr>
            <w:r>
              <w:rPr>
                <w:rFonts w:ascii="宋体" w:hAnsi="宋体" w:cs="宋体"/>
                <w:bCs/>
                <w:sz w:val="21"/>
                <w:szCs w:val="21"/>
              </w:rPr>
              <w:t>E</w:t>
            </w:r>
            <w:r>
              <w:rPr>
                <w:rFonts w:hint="eastAsia" w:ascii="宋体" w:hAnsi="宋体" w:cs="宋体"/>
                <w:bCs/>
                <w:sz w:val="21"/>
                <w:szCs w:val="21"/>
              </w:rPr>
              <w:t>:</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w:t>
            </w:r>
            <w:r>
              <w:rPr>
                <w:rFonts w:hint="eastAsia" w:ascii="宋体" w:hAnsi="宋体" w:cs="宋体"/>
                <w:sz w:val="21"/>
                <w:szCs w:val="21"/>
              </w:rPr>
              <w:t>/</w:t>
            </w:r>
            <w:r>
              <w:rPr>
                <w:rFonts w:ascii="宋体" w:hAnsi="宋体" w:cs="宋体"/>
                <w:bCs/>
                <w:sz w:val="21"/>
                <w:szCs w:val="21"/>
              </w:rPr>
              <w:t>6.1.1</w:t>
            </w:r>
            <w:r>
              <w:rPr>
                <w:rFonts w:hint="eastAsia" w:ascii="宋体" w:hAnsi="宋体" w:cs="宋体"/>
                <w:sz w:val="21"/>
                <w:szCs w:val="21"/>
              </w:rPr>
              <w:t>/</w:t>
            </w:r>
            <w:r>
              <w:rPr>
                <w:rFonts w:hint="eastAsia" w:ascii="宋体" w:hAnsi="宋体" w:cs="宋体"/>
                <w:bCs/>
                <w:sz w:val="21"/>
                <w:szCs w:val="21"/>
              </w:rPr>
              <w:t>6.1.4</w:t>
            </w:r>
            <w:r>
              <w:rPr>
                <w:rFonts w:hint="eastAsia" w:ascii="宋体" w:hAnsi="宋体" w:cs="宋体"/>
                <w:sz w:val="21"/>
                <w:szCs w:val="21"/>
              </w:rPr>
              <w:t>/</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9.3</w:t>
            </w:r>
            <w:r>
              <w:rPr>
                <w:rFonts w:hint="eastAsia" w:ascii="宋体" w:hAnsi="宋体" w:cs="宋体"/>
                <w:bCs/>
                <w:sz w:val="21"/>
                <w:szCs w:val="21"/>
              </w:rPr>
              <w:t>/</w:t>
            </w:r>
            <w:r>
              <w:rPr>
                <w:rFonts w:ascii="宋体" w:hAnsi="宋体" w:cs="宋体"/>
                <w:bCs/>
                <w:sz w:val="21"/>
                <w:szCs w:val="21"/>
              </w:rPr>
              <w:t>10.1</w:t>
            </w:r>
            <w:r>
              <w:rPr>
                <w:rFonts w:hint="eastAsia" w:ascii="宋体" w:hAnsi="宋体" w:cs="宋体"/>
                <w:bCs/>
                <w:sz w:val="21"/>
                <w:szCs w:val="21"/>
              </w:rPr>
              <w:t>/</w:t>
            </w:r>
            <w:r>
              <w:rPr>
                <w:rFonts w:ascii="宋体" w:hAnsi="宋体" w:cs="宋体"/>
                <w:bCs/>
                <w:sz w:val="21"/>
                <w:szCs w:val="21"/>
              </w:rPr>
              <w:t>10.3</w:t>
            </w:r>
          </w:p>
          <w:p>
            <w:pPr>
              <w:spacing w:line="360" w:lineRule="auto"/>
              <w:rPr>
                <w:sz w:val="21"/>
                <w:szCs w:val="21"/>
              </w:rPr>
            </w:pPr>
            <w:r>
              <w:rPr>
                <w:rFonts w:ascii="宋体" w:hAnsi="宋体" w:cs="宋体"/>
                <w:bCs/>
                <w:sz w:val="21"/>
                <w:szCs w:val="21"/>
              </w:rPr>
              <w:t>S:4.1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5.3/5.4</w:t>
            </w:r>
            <w:r>
              <w:rPr>
                <w:rFonts w:hint="eastAsia" w:ascii="宋体" w:hAnsi="宋体" w:cs="宋体"/>
                <w:bCs/>
                <w:sz w:val="21"/>
                <w:szCs w:val="21"/>
              </w:rPr>
              <w:t>/</w:t>
            </w:r>
            <w:r>
              <w:rPr>
                <w:rFonts w:ascii="宋体" w:hAnsi="宋体" w:cs="宋体"/>
                <w:bCs/>
                <w:sz w:val="21"/>
                <w:szCs w:val="21"/>
              </w:rPr>
              <w:t>6.1.1</w:t>
            </w:r>
            <w:r>
              <w:rPr>
                <w:rFonts w:hint="eastAsia" w:ascii="宋体" w:hAnsi="宋体" w:cs="宋体"/>
                <w:bCs/>
                <w:sz w:val="21"/>
                <w:szCs w:val="21"/>
              </w:rPr>
              <w:t>/</w:t>
            </w:r>
            <w:r>
              <w:rPr>
                <w:rFonts w:ascii="宋体" w:hAnsi="宋体" w:cs="宋体"/>
                <w:bCs/>
                <w:sz w:val="21"/>
                <w:szCs w:val="21"/>
              </w:rPr>
              <w:t>6.2</w:t>
            </w:r>
            <w:r>
              <w:rPr>
                <w:rFonts w:hint="eastAsia" w:ascii="宋体" w:hAnsi="宋体" w:cs="宋体"/>
                <w:bCs/>
                <w:sz w:val="21"/>
                <w:szCs w:val="21"/>
              </w:rPr>
              <w:t>/8.1.1/8.2/9.1.1/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理解组织及其环境</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总要求</w:t>
            </w:r>
          </w:p>
          <w:p>
            <w:pPr>
              <w:spacing w:line="360" w:lineRule="auto"/>
              <w:rPr>
                <w:sz w:val="21"/>
                <w:szCs w:val="21"/>
              </w:rPr>
            </w:pPr>
          </w:p>
        </w:tc>
        <w:tc>
          <w:tcPr>
            <w:tcW w:w="9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4.1</w:t>
            </w:r>
          </w:p>
          <w:p>
            <w:pPr>
              <w:spacing w:line="360" w:lineRule="auto"/>
              <w:rPr>
                <w:sz w:val="21"/>
                <w:szCs w:val="21"/>
              </w:rPr>
            </w:pPr>
          </w:p>
        </w:tc>
        <w:tc>
          <w:tcPr>
            <w:tcW w:w="10004" w:type="dxa"/>
          </w:tcPr>
          <w:p>
            <w:pPr>
              <w:spacing w:line="360" w:lineRule="auto"/>
              <w:ind w:firstLine="420" w:firstLineChars="200"/>
              <w:rPr>
                <w:rFonts w:hint="default" w:eastAsiaTheme="minorEastAsia"/>
                <w:sz w:val="21"/>
                <w:szCs w:val="21"/>
                <w:lang w:val="en-US" w:eastAsia="zh-CN"/>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介绍：</w:t>
            </w:r>
            <w:r>
              <w:rPr>
                <w:rFonts w:hint="eastAsia" w:cs="宋体" w:asciiTheme="minorEastAsia" w:hAnsiTheme="minorEastAsia" w:eastAsiaTheme="minorEastAsia"/>
                <w:color w:val="auto"/>
                <w:sz w:val="21"/>
                <w:szCs w:val="21"/>
                <w:lang w:val="en-US" w:eastAsia="zh-CN"/>
              </w:rPr>
              <w:t>公司占地面积45000平方米。办公实验室面积2200平米、</w:t>
            </w:r>
            <w:r>
              <w:rPr>
                <w:rFonts w:hint="eastAsia" w:ascii="宋体" w:hAnsi="宋体" w:eastAsia="宋体" w:cs="宋体"/>
                <w:color w:val="auto"/>
                <w:sz w:val="21"/>
                <w:szCs w:val="21"/>
                <w:lang w:eastAsia="zh-CN"/>
              </w:rPr>
              <w:t>拥有原材料封闭式厂房</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lang w:eastAsia="zh-CN"/>
              </w:rPr>
              <w:t>万平方米，储存</w:t>
            </w:r>
            <w:r>
              <w:rPr>
                <w:rFonts w:hint="eastAsia" w:ascii="宋体" w:hAnsi="宋体" w:cs="宋体"/>
                <w:color w:val="auto"/>
                <w:sz w:val="21"/>
                <w:szCs w:val="21"/>
                <w:lang w:eastAsia="zh-CN"/>
              </w:rPr>
              <w:t>机制</w:t>
            </w:r>
            <w:r>
              <w:rPr>
                <w:rFonts w:hint="eastAsia" w:ascii="宋体" w:hAnsi="宋体" w:eastAsia="宋体" w:cs="宋体"/>
                <w:color w:val="auto"/>
                <w:sz w:val="21"/>
                <w:szCs w:val="21"/>
                <w:lang w:eastAsia="zh-CN"/>
              </w:rPr>
              <w:t>砂</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万立方米，</w:t>
            </w:r>
            <w:r>
              <w:rPr>
                <w:rFonts w:hint="eastAsia" w:ascii="宋体" w:hAnsi="宋体" w:eastAsia="宋体" w:cs="宋体"/>
                <w:color w:val="auto"/>
                <w:sz w:val="21"/>
                <w:szCs w:val="21"/>
              </w:rPr>
              <w:t>碎石</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万吨。</w:t>
            </w:r>
            <w:r>
              <w:rPr>
                <w:rFonts w:hint="eastAsia" w:ascii="宋体" w:hAnsi="宋体" w:eastAsia="宋体" w:cs="宋体"/>
                <w:color w:val="auto"/>
                <w:spacing w:val="-10"/>
                <w:sz w:val="21"/>
                <w:szCs w:val="21"/>
              </w:rPr>
              <w:t>主材水泥全部采用三峡牌水泥，300T水泥立罐</w:t>
            </w:r>
            <w:r>
              <w:rPr>
                <w:rFonts w:hint="eastAsia" w:ascii="宋体" w:hAnsi="宋体" w:eastAsia="宋体" w:cs="宋体"/>
                <w:color w:val="auto"/>
                <w:spacing w:val="-10"/>
                <w:sz w:val="21"/>
                <w:szCs w:val="21"/>
                <w:lang w:val="en-US" w:eastAsia="zh-CN"/>
              </w:rPr>
              <w:t>28</w:t>
            </w:r>
            <w:r>
              <w:rPr>
                <w:rFonts w:hint="eastAsia" w:ascii="宋体" w:hAnsi="宋体" w:eastAsia="宋体" w:cs="宋体"/>
                <w:color w:val="auto"/>
                <w:spacing w:val="-10"/>
                <w:sz w:val="21"/>
                <w:szCs w:val="21"/>
              </w:rPr>
              <w:t>个、500T水泥立罐6</w:t>
            </w:r>
            <w:r>
              <w:rPr>
                <w:rFonts w:hint="eastAsia" w:ascii="宋体" w:hAnsi="宋体" w:eastAsia="宋体" w:cs="宋体"/>
                <w:color w:val="auto"/>
                <w:sz w:val="21"/>
                <w:szCs w:val="21"/>
              </w:rPr>
              <w:t>个；</w:t>
            </w:r>
            <w:r>
              <w:rPr>
                <w:rFonts w:hint="eastAsia" w:ascii="宋体" w:hAnsi="宋体" w:eastAsia="宋体" w:cs="宋体"/>
                <w:color w:val="auto"/>
                <w:sz w:val="21"/>
                <w:szCs w:val="21"/>
                <w:lang w:val="en-US" w:eastAsia="zh-CN"/>
              </w:rPr>
              <w:t>200T粉煤灰储罐9个；</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T</w:t>
            </w:r>
            <w:r>
              <w:rPr>
                <w:rFonts w:hint="eastAsia" w:ascii="宋体" w:hAnsi="宋体" w:eastAsia="宋体" w:cs="宋体"/>
                <w:color w:val="auto"/>
                <w:sz w:val="21"/>
                <w:szCs w:val="21"/>
              </w:rPr>
              <w:t>液体添加剂储罐</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个。同时为保障原材料的供应，公司配备了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0余辆</w:t>
            </w:r>
            <w:r>
              <w:rPr>
                <w:rFonts w:hint="eastAsia" w:ascii="宋体" w:hAnsi="宋体" w:eastAsia="宋体" w:cs="宋体"/>
                <w:color w:val="auto"/>
                <w:sz w:val="21"/>
                <w:szCs w:val="21"/>
                <w:lang w:eastAsia="zh-CN"/>
              </w:rPr>
              <w:t>专业</w:t>
            </w:r>
            <w:r>
              <w:rPr>
                <w:rFonts w:hint="eastAsia" w:ascii="宋体" w:hAnsi="宋体" w:eastAsia="宋体" w:cs="宋体"/>
                <w:color w:val="auto"/>
                <w:sz w:val="21"/>
                <w:szCs w:val="21"/>
              </w:rPr>
              <w:t>运输水泥、砂、石料的大型运输车队。</w:t>
            </w:r>
            <w:r>
              <w:rPr>
                <w:rFonts w:hint="eastAsia" w:cs="宋体" w:asciiTheme="minorEastAsia" w:hAnsiTheme="minorEastAsia" w:eastAsiaTheme="minorEastAsia"/>
                <w:color w:val="auto"/>
                <w:sz w:val="21"/>
                <w:szCs w:val="21"/>
                <w:lang w:val="en-US" w:eastAsia="zh-CN"/>
              </w:rPr>
              <w:t xml:space="preserve"> 公司现有混凝土协会专家委员会1人、高级工程师三人、拥有自动化生产线HZS270型三条、HZS180型3条、泵送设备及物流运输车辆300余台。公司设有生产调控中心、采用ERP系统化管理、标准化绩效考核管理。采用环保举措，确保</w:t>
            </w:r>
            <w:r>
              <w:rPr>
                <w:rFonts w:hint="eastAsia" w:cs="宋体" w:asciiTheme="minorEastAsia" w:hAnsiTheme="minorEastAsia" w:eastAsiaTheme="minorEastAsia"/>
                <w:color w:val="auto"/>
                <w:sz w:val="21"/>
                <w:szCs w:val="21"/>
              </w:rPr>
              <w:t>公司</w:t>
            </w:r>
            <w:r>
              <w:rPr>
                <w:rFonts w:hint="eastAsia" w:cs="宋体" w:asciiTheme="minorEastAsia" w:hAnsiTheme="minorEastAsia" w:eastAsiaTheme="minorEastAsia"/>
                <w:color w:val="auto"/>
                <w:sz w:val="21"/>
                <w:szCs w:val="21"/>
                <w:lang w:val="en-US" w:eastAsia="zh-CN"/>
              </w:rPr>
              <w:t>废水、废料、废浆零排放。采用砂石分离回收系统，粉尘超压安全系统，实现粉尘灌不冒顶。粉尘不外排放。噪声采用高配合精度减速机，公司</w:t>
            </w:r>
            <w:r>
              <w:rPr>
                <w:rFonts w:hint="eastAsia" w:cs="宋体" w:asciiTheme="minorEastAsia" w:hAnsiTheme="minorEastAsia" w:eastAsiaTheme="minorEastAsia"/>
                <w:color w:val="auto"/>
                <w:sz w:val="21"/>
                <w:szCs w:val="21"/>
              </w:rPr>
              <w:t>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根据由公司销售人员从市场、客户、网络等搜集到的信息并结合公司自身业务运作情况进行分析，通过分析对这些内部和外部因素的相关信息进行监视和评审以确保其充分和适宜。</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val="en-US" w:eastAsia="zh-CN"/>
              </w:rPr>
              <w:t>本年度公司基本情况与去年初审时基本无变化。</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理解相关方的需求和期望</w:t>
            </w:r>
          </w:p>
          <w:p>
            <w:pPr>
              <w:spacing w:line="360" w:lineRule="auto"/>
              <w:rPr>
                <w:sz w:val="21"/>
                <w:szCs w:val="21"/>
              </w:rPr>
            </w:pPr>
          </w:p>
        </w:tc>
        <w:tc>
          <w:tcPr>
            <w:tcW w:w="960" w:type="dxa"/>
          </w:tcPr>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lang w:val="en-US" w:eastAsia="zh-CN"/>
              </w:rPr>
              <w:t>2</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负责人介绍，</w:t>
            </w:r>
            <w:r>
              <w:rPr>
                <w:rFonts w:hint="eastAsia" w:cs="宋体" w:asciiTheme="minorEastAsia" w:hAnsiTheme="minorEastAsia" w:eastAsiaTheme="minorEastAsia"/>
                <w:color w:val="auto"/>
                <w:sz w:val="21"/>
                <w:szCs w:val="21"/>
              </w:rPr>
              <w:t>公司对这些相关方及其要求的相关信息进行监视和评审，以便于理解和持续满足相关方的需求和期望。</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本公司考虑以下相关方：--顾客；--最终用户或受益人；股东；---外部供应商；--雇员及其他为组织工作者；--法律法规及监管机关；--地方社区团体；--非政府组织等。</w:t>
            </w:r>
          </w:p>
          <w:p>
            <w:pPr>
              <w:pStyle w:val="3"/>
              <w:spacing w:line="360" w:lineRule="auto"/>
              <w:jc w:val="left"/>
              <w:rPr>
                <w:rFonts w:hAnsi="宋体"/>
                <w:color w:val="auto"/>
                <w:sz w:val="21"/>
                <w:szCs w:val="21"/>
              </w:rPr>
            </w:pPr>
            <w:r>
              <w:rPr>
                <w:rFonts w:hAnsi="宋体"/>
                <w:color w:val="auto"/>
                <w:sz w:val="21"/>
                <w:szCs w:val="21"/>
              </w:rPr>
              <w:t>本公司在建立质量、环境、职业健康安全管理体系时，考虑了相关方的要求，主要包括：</w:t>
            </w:r>
          </w:p>
          <w:p>
            <w:pPr>
              <w:pStyle w:val="3"/>
              <w:spacing w:line="360" w:lineRule="auto"/>
              <w:ind w:firstLine="420" w:firstLineChars="200"/>
              <w:jc w:val="left"/>
              <w:rPr>
                <w:rFonts w:hAnsi="宋体"/>
                <w:color w:val="auto"/>
                <w:sz w:val="21"/>
                <w:szCs w:val="21"/>
              </w:rPr>
            </w:pPr>
            <w:r>
              <w:rPr>
                <w:rFonts w:hAnsi="宋体"/>
                <w:color w:val="auto"/>
                <w:sz w:val="21"/>
                <w:szCs w:val="21"/>
              </w:rPr>
              <w:t xml:space="preserve">a）安全服务； </w:t>
            </w:r>
          </w:p>
          <w:p>
            <w:pPr>
              <w:pStyle w:val="3"/>
              <w:spacing w:line="360" w:lineRule="auto"/>
              <w:ind w:firstLine="420" w:firstLineChars="200"/>
              <w:jc w:val="left"/>
              <w:rPr>
                <w:rFonts w:hAnsi="宋体"/>
                <w:color w:val="auto"/>
                <w:sz w:val="21"/>
                <w:szCs w:val="21"/>
              </w:rPr>
            </w:pPr>
            <w:r>
              <w:rPr>
                <w:rFonts w:hAnsi="宋体"/>
                <w:color w:val="auto"/>
                <w:sz w:val="21"/>
                <w:szCs w:val="21"/>
              </w:rPr>
              <w:t>b）产品标识与防护；</w:t>
            </w:r>
          </w:p>
          <w:p>
            <w:pPr>
              <w:pStyle w:val="3"/>
              <w:spacing w:line="360" w:lineRule="auto"/>
              <w:ind w:firstLine="420" w:firstLineChars="200"/>
              <w:jc w:val="left"/>
              <w:rPr>
                <w:rFonts w:hAnsi="宋体"/>
                <w:color w:val="auto"/>
                <w:sz w:val="21"/>
                <w:szCs w:val="21"/>
              </w:rPr>
            </w:pPr>
            <w:r>
              <w:rPr>
                <w:rFonts w:hAnsi="宋体"/>
                <w:color w:val="auto"/>
                <w:sz w:val="21"/>
                <w:szCs w:val="21"/>
              </w:rPr>
              <w:t>c）产品质量；</w:t>
            </w:r>
          </w:p>
          <w:p>
            <w:pPr>
              <w:pStyle w:val="3"/>
              <w:spacing w:line="360" w:lineRule="auto"/>
              <w:ind w:firstLine="420" w:firstLineChars="200"/>
              <w:jc w:val="left"/>
              <w:rPr>
                <w:rFonts w:hAnsi="宋体"/>
                <w:color w:val="auto"/>
                <w:sz w:val="21"/>
                <w:szCs w:val="21"/>
              </w:rPr>
            </w:pPr>
            <w:r>
              <w:rPr>
                <w:rFonts w:hAnsi="宋体"/>
                <w:color w:val="auto"/>
                <w:sz w:val="21"/>
                <w:szCs w:val="21"/>
              </w:rPr>
              <w:t>d）运营成本；</w:t>
            </w:r>
          </w:p>
          <w:p>
            <w:pPr>
              <w:pStyle w:val="3"/>
              <w:spacing w:line="360" w:lineRule="auto"/>
              <w:ind w:firstLine="420" w:firstLineChars="200"/>
              <w:jc w:val="left"/>
              <w:rPr>
                <w:rFonts w:hAnsi="宋体"/>
                <w:color w:val="auto"/>
                <w:sz w:val="21"/>
                <w:szCs w:val="21"/>
              </w:rPr>
            </w:pPr>
            <w:r>
              <w:rPr>
                <w:rFonts w:hAnsi="宋体"/>
                <w:color w:val="auto"/>
                <w:sz w:val="21"/>
                <w:szCs w:val="21"/>
              </w:rPr>
              <w:t>e)确定相关方的有关需求和期望中哪些成为公司的合规义务；</w:t>
            </w:r>
          </w:p>
          <w:p>
            <w:pPr>
              <w:tabs>
                <w:tab w:val="center" w:pos="3169"/>
              </w:tabs>
              <w:spacing w:line="360" w:lineRule="auto"/>
              <w:ind w:firstLine="420" w:firstLineChars="200"/>
              <w:jc w:val="left"/>
              <w:rPr>
                <w:color w:val="auto"/>
                <w:sz w:val="21"/>
                <w:szCs w:val="21"/>
              </w:rPr>
            </w:pPr>
            <w:r>
              <w:rPr>
                <w:rFonts w:hint="eastAsia"/>
                <w:color w:val="auto"/>
                <w:sz w:val="21"/>
                <w:szCs w:val="21"/>
              </w:rPr>
              <w:t>公司明确风险和机遇事件的识别方法/途径、风险和机遇事件的评估方式、制定主要风险和机遇事件的应对措施的要求：公司全体员工的销售和服务质量意识比较强，驾驶员技能、安全意识强、监控手段健全，财务管理基本完善等。</w:t>
            </w:r>
          </w:p>
          <w:p>
            <w:pPr>
              <w:tabs>
                <w:tab w:val="center" w:pos="3169"/>
              </w:tabs>
              <w:spacing w:line="360" w:lineRule="auto"/>
              <w:jc w:val="left"/>
              <w:rPr>
                <w:color w:val="auto"/>
                <w:sz w:val="21"/>
                <w:szCs w:val="21"/>
              </w:rPr>
            </w:pPr>
            <w:r>
              <w:rPr>
                <w:rFonts w:hint="eastAsia"/>
                <w:color w:val="auto"/>
                <w:sz w:val="21"/>
                <w:szCs w:val="21"/>
              </w:rPr>
              <w:t>对公司不利的内、外部因素有：目前企业规模小，同行业</w:t>
            </w:r>
            <w:r>
              <w:rPr>
                <w:rFonts w:hint="eastAsia" w:ascii="宋体" w:hAnsi="宋体" w:cs="宋体"/>
                <w:color w:val="auto"/>
                <w:sz w:val="21"/>
                <w:szCs w:val="21"/>
              </w:rPr>
              <w:t>市场竞争激烈，产品销售市场的多样化、利润降低</w:t>
            </w:r>
            <w:r>
              <w:rPr>
                <w:rFonts w:hint="eastAsia"/>
                <w:color w:val="auto"/>
                <w:sz w:val="21"/>
                <w:szCs w:val="21"/>
              </w:rPr>
              <w:t>等。</w:t>
            </w:r>
          </w:p>
          <w:p>
            <w:pPr>
              <w:tabs>
                <w:tab w:val="center" w:pos="3169"/>
              </w:tabs>
              <w:spacing w:line="360" w:lineRule="auto"/>
              <w:ind w:firstLine="420" w:firstLineChars="200"/>
              <w:jc w:val="left"/>
              <w:rPr>
                <w:color w:val="auto"/>
                <w:sz w:val="21"/>
                <w:szCs w:val="21"/>
              </w:rPr>
            </w:pPr>
            <w:r>
              <w:rPr>
                <w:rFonts w:hint="eastAsia"/>
                <w:color w:val="auto"/>
                <w:sz w:val="21"/>
                <w:szCs w:val="21"/>
              </w:rPr>
              <w:t>公司通过业内展会、同行交流、座谈会、每周工作例会、QQ、微信等进行内外部沟通，并定期进行评审，形成会议记录。</w:t>
            </w:r>
          </w:p>
          <w:p>
            <w:pPr>
              <w:tabs>
                <w:tab w:val="center" w:pos="3169"/>
              </w:tabs>
              <w:spacing w:line="360" w:lineRule="auto"/>
              <w:ind w:firstLine="420" w:firstLineChars="200"/>
              <w:jc w:val="left"/>
              <w:rPr>
                <w:color w:val="auto"/>
                <w:sz w:val="21"/>
                <w:szCs w:val="21"/>
              </w:rPr>
            </w:pPr>
            <w:r>
              <w:rPr>
                <w:rFonts w:hint="eastAsia"/>
                <w:color w:val="auto"/>
                <w:sz w:val="21"/>
                <w:szCs w:val="21"/>
              </w:rPr>
              <w:t>公司确定的相关方有顾客、</w:t>
            </w:r>
            <w:r>
              <w:rPr>
                <w:rFonts w:hint="eastAsia"/>
                <w:color w:val="auto"/>
                <w:sz w:val="21"/>
                <w:szCs w:val="21"/>
                <w:lang w:val="en-US" w:eastAsia="zh-CN"/>
              </w:rPr>
              <w:t>中国一冶、中建二局、中建三局、中铁七局、中铁二十二局、碧桂园集团、万达集团、</w:t>
            </w:r>
            <w:r>
              <w:rPr>
                <w:rFonts w:hint="eastAsia"/>
                <w:color w:val="auto"/>
                <w:sz w:val="21"/>
                <w:szCs w:val="21"/>
              </w:rPr>
              <w:t>员工、银行、外部供应商、政府机构及其他为组织工作者、法律法规及监管机关、非政府组织等。</w:t>
            </w:r>
          </w:p>
          <w:p>
            <w:pPr>
              <w:tabs>
                <w:tab w:val="center" w:pos="3169"/>
              </w:tabs>
              <w:spacing w:line="360" w:lineRule="auto"/>
              <w:jc w:val="left"/>
              <w:rPr>
                <w:color w:val="auto"/>
                <w:sz w:val="21"/>
                <w:szCs w:val="21"/>
              </w:rPr>
            </w:pPr>
            <w:r>
              <w:rPr>
                <w:rFonts w:hint="eastAsia"/>
                <w:color w:val="auto"/>
                <w:sz w:val="21"/>
                <w:szCs w:val="21"/>
              </w:rPr>
              <w:t>理解员工诉求的形式为谈心、茶话会等；理解银行等相关方的形式主要为电话沟通、上门拜访等；</w:t>
            </w:r>
          </w:p>
          <w:p>
            <w:pPr>
              <w:tabs>
                <w:tab w:val="center" w:pos="3169"/>
              </w:tabs>
              <w:spacing w:line="360" w:lineRule="auto"/>
              <w:jc w:val="left"/>
              <w:rPr>
                <w:rFonts w:hint="eastAsia"/>
                <w:color w:val="auto"/>
                <w:sz w:val="21"/>
                <w:szCs w:val="21"/>
              </w:rPr>
            </w:pPr>
            <w:r>
              <w:rPr>
                <w:rFonts w:hint="eastAsia"/>
                <w:color w:val="auto"/>
                <w:sz w:val="21"/>
                <w:szCs w:val="21"/>
              </w:rPr>
              <w:t>员工关注的主要问题有工资、待遇、晋升机制、福利等，供应商和合作伙伴关注的主要问题是稳定、持续地合作，互利双赢，建立友好关系，不发生环境安全事故、环保运输，固废排放。车</w:t>
            </w:r>
            <w:r>
              <w:rPr>
                <w:rFonts w:hint="eastAsia"/>
                <w:color w:val="auto"/>
                <w:sz w:val="21"/>
                <w:szCs w:val="21"/>
                <w:lang w:val="en-US" w:eastAsia="zh-CN"/>
              </w:rPr>
              <w:t>辆</w:t>
            </w:r>
            <w:r>
              <w:rPr>
                <w:rFonts w:hint="eastAsia"/>
                <w:color w:val="auto"/>
                <w:sz w:val="21"/>
                <w:szCs w:val="21"/>
              </w:rPr>
              <w:t>尾气排放、符合法律法规等。</w:t>
            </w:r>
          </w:p>
          <w:p>
            <w:pPr>
              <w:spacing w:line="360" w:lineRule="auto"/>
              <w:ind w:firstLine="420" w:firstLineChars="200"/>
              <w:rPr>
                <w:sz w:val="21"/>
                <w:szCs w:val="21"/>
              </w:rPr>
            </w:pPr>
            <w:r>
              <w:rPr>
                <w:rFonts w:hint="eastAsia" w:ascii="宋体" w:hAnsi="宋体" w:cs="宋体"/>
                <w:color w:val="auto"/>
                <w:sz w:val="21"/>
                <w:szCs w:val="21"/>
              </w:rPr>
              <w:t>顾客需求和期望：质量满足顾客要求；准时交货；企业有建立质量/环境/安全管理体系并有效地运行等。</w:t>
            </w:r>
            <w:r>
              <w:rPr>
                <w:rFonts w:hint="eastAsia"/>
                <w:color w:val="auto"/>
                <w:sz w:val="21"/>
                <w:szCs w:val="21"/>
              </w:rPr>
              <w:t>对相关方的要求的监视和评审的方法多样，通过QQ和微信等现代通讯手段是常用的便捷而又高效</w:t>
            </w:r>
            <w:r>
              <w:rPr>
                <w:rFonts w:hint="eastAsia" w:cs="宋体" w:asciiTheme="minorEastAsia" w:hAnsiTheme="minorEastAsia" w:eastAsiaTheme="minorEastAsia"/>
                <w:color w:val="auto"/>
                <w:sz w:val="21"/>
                <w:szCs w:val="21"/>
              </w:rPr>
              <w:t>。</w:t>
            </w:r>
            <w:r>
              <w:rPr>
                <w:rFonts w:hint="eastAsia"/>
                <w:color w:val="auto"/>
                <w:sz w:val="21"/>
                <w:szCs w:val="21"/>
              </w:rPr>
              <w:t>风险和机遇评估分析</w:t>
            </w:r>
            <w:r>
              <w:rPr>
                <w:rFonts w:hint="eastAsia" w:cs="宋体" w:asciiTheme="minorEastAsia" w:hAnsiTheme="minorEastAsia" w:eastAsiaTheme="minorEastAsia"/>
                <w:color w:val="auto"/>
                <w:sz w:val="21"/>
                <w:szCs w:val="21"/>
              </w:rPr>
              <w:t>分析基本到位。</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确定管理体系的范围</w:t>
            </w:r>
          </w:p>
          <w:p>
            <w:pPr>
              <w:spacing w:line="360" w:lineRule="auto"/>
              <w:rPr>
                <w:sz w:val="21"/>
                <w:szCs w:val="21"/>
              </w:rPr>
            </w:pPr>
          </w:p>
        </w:tc>
        <w:tc>
          <w:tcPr>
            <w:tcW w:w="960" w:type="dxa"/>
          </w:tcPr>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lang w:val="en-US" w:eastAsia="zh-CN"/>
              </w:rPr>
              <w:t>3</w:t>
            </w:r>
          </w:p>
          <w:p>
            <w:pPr>
              <w:spacing w:line="360" w:lineRule="auto"/>
              <w:rPr>
                <w:sz w:val="21"/>
                <w:szCs w:val="21"/>
              </w:rPr>
            </w:pPr>
          </w:p>
        </w:tc>
        <w:tc>
          <w:tcPr>
            <w:tcW w:w="10004" w:type="dxa"/>
          </w:tcPr>
          <w:p>
            <w:pPr>
              <w:spacing w:line="360" w:lineRule="auto"/>
              <w:ind w:firstLine="420" w:firstLineChars="200"/>
              <w:jc w:val="left"/>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公司管理体系范围为：</w:t>
            </w:r>
          </w:p>
          <w:p>
            <w:pPr>
              <w:spacing w:line="360" w:lineRule="auto"/>
              <w:ind w:firstLine="420" w:firstLineChars="200"/>
              <w:rPr>
                <w:rFonts w:hint="eastAsia"/>
                <w:color w:val="auto"/>
                <w:sz w:val="21"/>
                <w:szCs w:val="21"/>
              </w:rPr>
            </w:pPr>
            <w:r>
              <w:rPr>
                <w:rFonts w:hint="eastAsia" w:ascii="宋体" w:hAnsi="宋体"/>
                <w:color w:val="auto"/>
                <w:sz w:val="21"/>
                <w:szCs w:val="21"/>
              </w:rPr>
              <w:t>Q：</w:t>
            </w:r>
            <w:bookmarkStart w:id="2" w:name="OLE_LINK1"/>
            <w:r>
              <w:rPr>
                <w:rFonts w:hint="eastAsia" w:ascii="宋体" w:hAnsi="宋体"/>
                <w:color w:val="auto"/>
                <w:sz w:val="21"/>
                <w:szCs w:val="21"/>
              </w:rPr>
              <w:t>混凝土的生产及销售</w:t>
            </w:r>
            <w:bookmarkEnd w:id="2"/>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E：混凝土的生产及销售所涉及的相关环境管理活动</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O：混凝土的生产及销售所涉及的相关</w:t>
            </w:r>
            <w:r>
              <w:rPr>
                <w:rFonts w:hint="eastAsia" w:ascii="宋体" w:hAnsi="宋体"/>
                <w:color w:val="auto"/>
                <w:sz w:val="21"/>
                <w:szCs w:val="21"/>
                <w:lang w:val="en-US" w:eastAsia="zh-CN"/>
              </w:rPr>
              <w:t>职业健康安全</w:t>
            </w:r>
            <w:r>
              <w:rPr>
                <w:rFonts w:hint="eastAsia" w:ascii="宋体" w:hAnsi="宋体"/>
                <w:color w:val="auto"/>
                <w:sz w:val="21"/>
                <w:szCs w:val="21"/>
              </w:rPr>
              <w:t xml:space="preserve">管理活动 </w:t>
            </w:r>
          </w:p>
          <w:p>
            <w:pPr>
              <w:spacing w:line="360" w:lineRule="auto"/>
              <w:ind w:firstLine="420" w:firstLineChars="200"/>
              <w:rPr>
                <w:rFonts w:hint="eastAsia"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不适用情况：质量管理体系Q</w:t>
            </w:r>
            <w:r>
              <w:rPr>
                <w:rFonts w:hint="eastAsia" w:asciiTheme="minorEastAsia" w:hAnsiTheme="minorEastAsia" w:eastAsiaTheme="minorEastAsia"/>
                <w:color w:val="auto"/>
                <w:sz w:val="21"/>
                <w:szCs w:val="21"/>
              </w:rPr>
              <w:t>8.3 产品和服务的设计和开发</w:t>
            </w:r>
            <w:r>
              <w:rPr>
                <w:rFonts w:hint="eastAsia" w:asciiTheme="minorEastAsia" w:hAnsiTheme="minorEastAsia" w:eastAsiaTheme="minorEastAsia"/>
                <w:color w:val="auto"/>
                <w:sz w:val="21"/>
                <w:szCs w:val="21"/>
                <w:lang w:eastAsia="zh-CN"/>
              </w:rPr>
              <w:t>；</w:t>
            </w:r>
            <w:r>
              <w:rPr>
                <w:rFonts w:ascii="宋体" w:hAnsi="宋体"/>
                <w:color w:val="auto"/>
                <w:sz w:val="21"/>
                <w:szCs w:val="21"/>
              </w:rPr>
              <w:t>本公司按照GB/T19001-2016标准要求及公司的实际情况编制</w:t>
            </w:r>
            <w:r>
              <w:rPr>
                <w:rFonts w:hint="eastAsia" w:ascii="宋体" w:hAnsi="宋体"/>
                <w:color w:val="auto"/>
                <w:sz w:val="21"/>
                <w:szCs w:val="21"/>
              </w:rPr>
              <w:t>。公司所</w:t>
            </w:r>
            <w:r>
              <w:rPr>
                <w:rFonts w:hint="eastAsia" w:ascii="宋体" w:hAnsi="宋体"/>
                <w:color w:val="auto"/>
                <w:sz w:val="21"/>
                <w:szCs w:val="21"/>
                <w:lang w:val="en-US" w:eastAsia="zh-CN"/>
              </w:rPr>
              <w:t>产品生产及</w:t>
            </w:r>
            <w:r>
              <w:rPr>
                <w:rFonts w:hint="eastAsia" w:ascii="宋体" w:hAnsi="宋体"/>
                <w:color w:val="auto"/>
                <w:sz w:val="21"/>
                <w:szCs w:val="21"/>
              </w:rPr>
              <w:t>销售均按照国家标准、行业标准或顾客要求提供，不存在产品的设计和开发过程。故</w:t>
            </w:r>
            <w:r>
              <w:rPr>
                <w:rFonts w:hint="eastAsia" w:hAnsi="宋体"/>
                <w:color w:val="auto"/>
                <w:sz w:val="21"/>
                <w:szCs w:val="21"/>
              </w:rPr>
              <w:t>Q</w:t>
            </w:r>
            <w:r>
              <w:rPr>
                <w:rFonts w:hint="eastAsia" w:ascii="宋体" w:hAnsi="宋体"/>
                <w:color w:val="auto"/>
                <w:sz w:val="21"/>
                <w:szCs w:val="21"/>
              </w:rPr>
              <w:t>8.3条款不适用。</w:t>
            </w:r>
            <w:r>
              <w:rPr>
                <w:rFonts w:hint="eastAsia" w:hAnsi="宋体"/>
                <w:color w:val="auto"/>
                <w:sz w:val="21"/>
                <w:szCs w:val="21"/>
              </w:rPr>
              <w:t>Q8.3条款不适用的要求不影响组织确保其产品和服务合格的能力或责任，对增强顾客满意也不会产生任何影响。</w:t>
            </w:r>
            <w:r>
              <w:rPr>
                <w:rFonts w:hint="eastAsia" w:asciiTheme="minorEastAsia" w:hAnsiTheme="minorEastAsia" w:eastAsiaTheme="minorEastAsia"/>
                <w:color w:val="auto"/>
                <w:sz w:val="21"/>
                <w:szCs w:val="21"/>
              </w:rPr>
              <w:t>不适用说明较充分。</w:t>
            </w:r>
          </w:p>
          <w:p>
            <w:pPr>
              <w:pStyle w:val="7"/>
              <w:spacing w:line="360" w:lineRule="auto"/>
              <w:ind w:left="0" w:leftChars="0" w:firstLine="420" w:firstLineChars="200"/>
              <w:rPr>
                <w:rFonts w:hint="eastAsia"/>
                <w:sz w:val="21"/>
                <w:szCs w:val="21"/>
                <w:lang w:eastAsia="zh-CN"/>
              </w:rPr>
            </w:pPr>
            <w:r>
              <w:rPr>
                <w:rFonts w:hint="eastAsia"/>
                <w:sz w:val="21"/>
                <w:szCs w:val="21"/>
              </w:rPr>
              <w:t>注册地址</w:t>
            </w:r>
            <w:r>
              <w:rPr>
                <w:rFonts w:hint="eastAsia"/>
                <w:sz w:val="21"/>
                <w:szCs w:val="21"/>
                <w:lang w:eastAsia="zh-CN"/>
              </w:rPr>
              <w:t>：</w:t>
            </w:r>
            <w:bookmarkStart w:id="3" w:name="生产地址"/>
            <w:r>
              <w:rPr>
                <w:rFonts w:asciiTheme="minorEastAsia" w:hAnsiTheme="minorEastAsia" w:eastAsiaTheme="minorEastAsia"/>
                <w:sz w:val="21"/>
                <w:szCs w:val="21"/>
              </w:rPr>
              <w:t>荆门高新区掇刀区深圳大道东99号</w:t>
            </w:r>
            <w:bookmarkEnd w:id="3"/>
          </w:p>
          <w:p>
            <w:pPr>
              <w:pStyle w:val="7"/>
              <w:spacing w:line="360" w:lineRule="auto"/>
              <w:ind w:left="0" w:leftChars="0" w:firstLine="420" w:firstLineChars="200"/>
              <w:rPr>
                <w:rFonts w:hint="eastAsia" w:eastAsia="宋体"/>
                <w:sz w:val="21"/>
                <w:szCs w:val="21"/>
                <w:lang w:eastAsia="zh-CN"/>
              </w:rPr>
            </w:pPr>
            <w:r>
              <w:rPr>
                <w:rFonts w:hint="eastAsia"/>
                <w:sz w:val="21"/>
                <w:szCs w:val="21"/>
                <w:lang w:val="en-US" w:eastAsia="zh-CN"/>
              </w:rPr>
              <w:t>生产</w:t>
            </w:r>
            <w:r>
              <w:rPr>
                <w:rFonts w:hint="eastAsia"/>
                <w:sz w:val="21"/>
                <w:szCs w:val="21"/>
              </w:rPr>
              <w:t>经营</w:t>
            </w:r>
            <w:r>
              <w:rPr>
                <w:rFonts w:hint="eastAsia"/>
                <w:sz w:val="21"/>
                <w:szCs w:val="21"/>
                <w:lang w:val="en-US" w:eastAsia="zh-CN"/>
              </w:rPr>
              <w:t>及办公</w:t>
            </w:r>
            <w:r>
              <w:rPr>
                <w:rFonts w:hint="eastAsia"/>
                <w:sz w:val="21"/>
                <w:szCs w:val="21"/>
              </w:rPr>
              <w:t>地址</w:t>
            </w:r>
            <w:r>
              <w:rPr>
                <w:rFonts w:hint="eastAsia"/>
                <w:sz w:val="21"/>
                <w:szCs w:val="21"/>
                <w:lang w:eastAsia="zh-CN"/>
              </w:rPr>
              <w:t>：</w:t>
            </w:r>
            <w:r>
              <w:rPr>
                <w:rFonts w:asciiTheme="minorEastAsia" w:hAnsiTheme="minorEastAsia" w:eastAsiaTheme="minorEastAsia"/>
                <w:sz w:val="21"/>
                <w:szCs w:val="21"/>
              </w:rPr>
              <w:t>荆门高新区掇刀区深圳大道东99号</w:t>
            </w:r>
          </w:p>
          <w:p>
            <w:pPr>
              <w:spacing w:line="360" w:lineRule="auto"/>
              <w:rPr>
                <w:rFonts w:hint="default" w:eastAsia="宋体"/>
                <w:sz w:val="21"/>
                <w:szCs w:val="21"/>
                <w:lang w:val="en-US" w:eastAsia="zh-CN"/>
              </w:rPr>
            </w:pP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管理体系及其过程</w:t>
            </w:r>
          </w:p>
          <w:p>
            <w:pPr>
              <w:spacing w:line="360" w:lineRule="auto"/>
              <w:rPr>
                <w:sz w:val="21"/>
                <w:szCs w:val="21"/>
              </w:rPr>
            </w:pPr>
          </w:p>
        </w:tc>
        <w:tc>
          <w:tcPr>
            <w:tcW w:w="960" w:type="dxa"/>
          </w:tcPr>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lang w:val="en-US" w:eastAsia="zh-CN"/>
              </w:rPr>
              <w:t>4</w:t>
            </w:r>
          </w:p>
          <w:p>
            <w:pPr>
              <w:spacing w:line="360" w:lineRule="auto"/>
              <w:rPr>
                <w:sz w:val="21"/>
                <w:szCs w:val="21"/>
              </w:rPr>
            </w:pPr>
          </w:p>
        </w:tc>
        <w:tc>
          <w:tcPr>
            <w:tcW w:w="10004" w:type="dxa"/>
          </w:tcPr>
          <w:p>
            <w:pPr>
              <w:spacing w:line="360" w:lineRule="auto"/>
              <w:ind w:firstLine="420"/>
              <w:rPr>
                <w:rFonts w:hint="eastAsia"/>
                <w:sz w:val="21"/>
                <w:szCs w:val="21"/>
              </w:rPr>
            </w:pPr>
            <w:r>
              <w:rPr>
                <w:rFonts w:hint="default"/>
                <w:sz w:val="21"/>
                <w:szCs w:val="21"/>
                <w:lang w:val="en-US" w:eastAsia="zh-CN"/>
              </w:rPr>
              <w:t>由综合部组织编写、修改，管理者代表审核，总经理批准并发布执行，</w:t>
            </w:r>
            <w:r>
              <w:rPr>
                <w:rFonts w:hint="eastAsia"/>
                <w:sz w:val="21"/>
                <w:szCs w:val="21"/>
                <w:lang w:val="en-US" w:eastAsia="zh-CN"/>
              </w:rPr>
              <w:t>开展建立环境、安全管理体系。按照GB/T19001-2016、GB/T24001-2016、GB/T45001-2020标准的要求，于2020年6月6日颁布并实施了质量环境职业健康安全管理体系文件，体系文件包括有管理手册、方针/目标、程序文件、作业文件以及体系运行所需的记录等，公司按照GB/T19001-2016标准要求及公司的实际情况编制。公司所产品生产及销售均按照国家标准、行业标准或顾客要求提供，不存在产品的设计和开发过程；Q8.3条款不适用的要求不影响组织确保其产品和服务合格的能力或责任，对增强顾客满意也不会产生任何影响。因此，该公司文件化管</w:t>
            </w:r>
            <w:r>
              <w:rPr>
                <w:rFonts w:hint="eastAsia"/>
                <w:sz w:val="21"/>
                <w:szCs w:val="21"/>
              </w:rPr>
              <w:t>理体系覆盖标准全条款。覆盖的部门为总经理领导下的</w:t>
            </w:r>
            <w:r>
              <w:rPr>
                <w:rFonts w:hint="eastAsia"/>
                <w:sz w:val="21"/>
                <w:szCs w:val="21"/>
                <w:lang w:val="en-US" w:eastAsia="zh-CN"/>
              </w:rPr>
              <w:t>营销</w:t>
            </w:r>
            <w:r>
              <w:rPr>
                <w:rFonts w:hint="eastAsia"/>
                <w:sz w:val="21"/>
                <w:szCs w:val="21"/>
              </w:rPr>
              <w:t>部、综合部、生产部、</w:t>
            </w:r>
            <w:r>
              <w:rPr>
                <w:rFonts w:hint="eastAsia"/>
                <w:sz w:val="21"/>
                <w:szCs w:val="21"/>
                <w:lang w:val="en-US" w:eastAsia="zh-CN"/>
              </w:rPr>
              <w:t>物资</w:t>
            </w:r>
            <w:r>
              <w:rPr>
                <w:rFonts w:hint="eastAsia"/>
                <w:sz w:val="21"/>
                <w:szCs w:val="21"/>
              </w:rPr>
              <w:t>部、财务部</w:t>
            </w:r>
            <w:r>
              <w:rPr>
                <w:rFonts w:hint="eastAsia"/>
                <w:sz w:val="21"/>
                <w:szCs w:val="21"/>
                <w:lang w:val="en-US" w:eastAsia="zh-CN"/>
              </w:rPr>
              <w:t>及</w:t>
            </w:r>
            <w:r>
              <w:rPr>
                <w:rFonts w:hint="eastAsia"/>
                <w:sz w:val="21"/>
                <w:szCs w:val="21"/>
              </w:rPr>
              <w:t>实验室组成。</w:t>
            </w:r>
          </w:p>
          <w:p>
            <w:pPr>
              <w:pStyle w:val="16"/>
              <w:spacing w:line="360" w:lineRule="auto"/>
              <w:ind w:firstLine="420" w:firstLineChars="200"/>
              <w:rPr>
                <w:sz w:val="21"/>
                <w:szCs w:val="21"/>
              </w:rPr>
            </w:pPr>
            <w:r>
              <w:rPr>
                <w:rFonts w:hint="eastAsia"/>
                <w:sz w:val="21"/>
                <w:szCs w:val="21"/>
              </w:rPr>
              <w:t>根据顾客要求、企业的经验和资源状况，以过程方法模式，识别公司的管理体系所需的过程。采用PDCA循环的管理方法。</w:t>
            </w:r>
          </w:p>
          <w:p>
            <w:pPr>
              <w:pStyle w:val="16"/>
              <w:spacing w:line="360" w:lineRule="auto"/>
              <w:ind w:firstLine="420" w:firstLineChars="200"/>
              <w:rPr>
                <w:sz w:val="21"/>
                <w:szCs w:val="21"/>
              </w:rPr>
            </w:pPr>
            <w:r>
              <w:rPr>
                <w:rFonts w:hint="eastAsia"/>
                <w:sz w:val="21"/>
                <w:szCs w:val="21"/>
              </w:rPr>
              <w:t>重点识别混凝土的生产</w:t>
            </w:r>
            <w:r>
              <w:rPr>
                <w:rFonts w:hint="eastAsia"/>
                <w:sz w:val="21"/>
                <w:szCs w:val="21"/>
                <w:lang w:val="en-US" w:eastAsia="zh-CN"/>
              </w:rPr>
              <w:t>过程与</w:t>
            </w:r>
            <w:r>
              <w:rPr>
                <w:rFonts w:hint="eastAsia"/>
                <w:sz w:val="21"/>
                <w:szCs w:val="21"/>
              </w:rPr>
              <w:t>销售</w:t>
            </w:r>
            <w:r>
              <w:rPr>
                <w:rFonts w:hint="eastAsia"/>
                <w:sz w:val="21"/>
                <w:szCs w:val="21"/>
                <w:lang w:val="en-US" w:eastAsia="zh-CN"/>
              </w:rPr>
              <w:t>过程及</w:t>
            </w:r>
            <w:r>
              <w:rPr>
                <w:sz w:val="21"/>
                <w:szCs w:val="21"/>
              </w:rPr>
              <w:t>所涉及场所的相关环境</w:t>
            </w:r>
            <w:r>
              <w:rPr>
                <w:rFonts w:hint="eastAsia"/>
                <w:sz w:val="21"/>
                <w:szCs w:val="21"/>
                <w:lang w:eastAsia="zh-CN"/>
              </w:rPr>
              <w:t>、</w:t>
            </w:r>
            <w:r>
              <w:rPr>
                <w:sz w:val="21"/>
                <w:szCs w:val="21"/>
              </w:rPr>
              <w:t>职业健康安全管理活动</w:t>
            </w:r>
            <w:r>
              <w:rPr>
                <w:rFonts w:hint="eastAsia"/>
                <w:sz w:val="21"/>
                <w:szCs w:val="21"/>
              </w:rPr>
              <w:t>的实现过程、关键过程及其相互作用。通过把管理的过程方法原则和系统方法原理相结合，实现企业的全面管理。</w:t>
            </w:r>
          </w:p>
          <w:p>
            <w:pPr>
              <w:pStyle w:val="16"/>
              <w:spacing w:line="360" w:lineRule="auto"/>
              <w:ind w:firstLine="420" w:firstLineChars="200"/>
              <w:rPr>
                <w:sz w:val="21"/>
                <w:szCs w:val="21"/>
              </w:rPr>
            </w:pPr>
            <w:r>
              <w:rPr>
                <w:rFonts w:hint="eastAsia"/>
                <w:sz w:val="21"/>
                <w:szCs w:val="21"/>
              </w:rPr>
              <w:t>公司现行主要业务为混凝土的生产及销售。</w:t>
            </w:r>
          </w:p>
          <w:p>
            <w:pPr>
              <w:pStyle w:val="16"/>
              <w:spacing w:line="360" w:lineRule="auto"/>
              <w:ind w:firstLine="420" w:firstLineChars="200"/>
              <w:rPr>
                <w:rFonts w:hint="eastAsia"/>
                <w:sz w:val="21"/>
                <w:szCs w:val="21"/>
              </w:rPr>
            </w:pPr>
            <w:r>
              <w:rPr>
                <w:rFonts w:hint="eastAsia"/>
                <w:sz w:val="21"/>
                <w:szCs w:val="21"/>
              </w:rPr>
              <w:t>生产过程为：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pStyle w:val="16"/>
              <w:spacing w:line="360" w:lineRule="auto"/>
              <w:ind w:firstLine="420" w:firstLineChars="200"/>
              <w:rPr>
                <w:rFonts w:hint="eastAsia"/>
                <w:sz w:val="21"/>
                <w:szCs w:val="21"/>
                <w:lang w:val="en-US" w:eastAsia="zh-CN"/>
              </w:rPr>
            </w:pPr>
            <w:r>
              <w:rPr>
                <w:rFonts w:hint="eastAsia"/>
                <w:sz w:val="21"/>
                <w:szCs w:val="21"/>
                <w:lang w:val="en-US" w:eastAsia="zh-CN"/>
              </w:rPr>
              <w:t>销售过程：顾客沟通—合同评审—合同/订单签订—产品采购—产品验证—交付—售后服务</w:t>
            </w:r>
          </w:p>
          <w:p>
            <w:pPr>
              <w:spacing w:line="360" w:lineRule="auto"/>
              <w:ind w:firstLine="420" w:firstLineChars="200"/>
              <w:rPr>
                <w:rFonts w:hint="default"/>
                <w:sz w:val="21"/>
                <w:szCs w:val="21"/>
                <w:lang w:val="en-US" w:eastAsia="zh-CN"/>
              </w:rPr>
            </w:pPr>
            <w:r>
              <w:rPr>
                <w:rFonts w:hint="eastAsia"/>
                <w:sz w:val="21"/>
                <w:szCs w:val="21"/>
                <w:lang w:val="en-US" w:eastAsia="zh-CN"/>
              </w:rPr>
              <w:t>经识别的关键过程：按配合比要求计量（称重）和搅拌（定时控制）两个。</w:t>
            </w:r>
          </w:p>
          <w:p>
            <w:pPr>
              <w:spacing w:line="360" w:lineRule="auto"/>
              <w:ind w:firstLine="420"/>
              <w:rPr>
                <w:rFonts w:hint="eastAsia"/>
                <w:sz w:val="21"/>
                <w:szCs w:val="21"/>
                <w:lang w:val="en-US" w:eastAsia="zh-CN"/>
              </w:rPr>
            </w:pPr>
            <w:r>
              <w:rPr>
                <w:rFonts w:hint="eastAsia"/>
                <w:sz w:val="21"/>
                <w:szCs w:val="21"/>
                <w:lang w:val="en-US" w:eastAsia="zh-CN"/>
              </w:rPr>
              <w:t>经识别的外部过程：无。</w:t>
            </w:r>
          </w:p>
          <w:p>
            <w:pPr>
              <w:pStyle w:val="2"/>
              <w:spacing w:line="360" w:lineRule="auto"/>
              <w:rPr>
                <w:rFonts w:hint="default"/>
                <w:sz w:val="21"/>
                <w:szCs w:val="21"/>
                <w:lang w:val="en-US" w:eastAsia="zh-CN"/>
              </w:rPr>
            </w:pPr>
            <w:r>
              <w:rPr>
                <w:rFonts w:hint="eastAsia"/>
                <w:sz w:val="21"/>
                <w:szCs w:val="21"/>
                <w:lang w:val="en-US" w:eastAsia="zh-CN"/>
              </w:rPr>
              <w:t xml:space="preserve">   </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领导作用与承诺</w:t>
            </w:r>
          </w:p>
          <w:p>
            <w:pPr>
              <w:spacing w:line="360" w:lineRule="auto"/>
              <w:rPr>
                <w:sz w:val="21"/>
                <w:szCs w:val="21"/>
              </w:rPr>
            </w:pPr>
            <w:r>
              <w:rPr>
                <w:rFonts w:hint="eastAsia" w:cs="宋体" w:asciiTheme="minorEastAsia" w:hAnsiTheme="minorEastAsia" w:eastAsiaTheme="minorEastAsia"/>
                <w:color w:val="auto"/>
                <w:sz w:val="21"/>
                <w:szCs w:val="21"/>
              </w:rPr>
              <w:t>--总则</w:t>
            </w: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S5.1</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公司总经理</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介绍主要</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承诺有：</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1)对管理体系的有效性要承担责任；</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2)建立公司的管理方针和目标并确保与公司的环境相适应，与公司战略方向保持一致以及方针在公司内得到沟通理解和有效实施； </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3）确保管理体系要求融入公司的</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采购、销售</w:t>
            </w:r>
            <w:r>
              <w:rPr>
                <w:rFonts w:hint="eastAsia" w:cs="宋体" w:asciiTheme="minorEastAsia" w:hAnsiTheme="minorEastAsia" w:eastAsiaTheme="minorEastAsia"/>
                <w:color w:val="auto"/>
                <w:sz w:val="21"/>
                <w:szCs w:val="21"/>
                <w:lang w:val="en-US" w:eastAsia="zh-CN"/>
              </w:rPr>
              <w:t>等</w:t>
            </w:r>
            <w:r>
              <w:rPr>
                <w:rFonts w:hint="eastAsia" w:cs="宋体" w:asciiTheme="minorEastAsia" w:hAnsiTheme="minorEastAsia" w:eastAsiaTheme="minorEastAsia"/>
                <w:color w:val="auto"/>
                <w:sz w:val="21"/>
                <w:szCs w:val="21"/>
              </w:rPr>
              <w:t>各过程。</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4）促进使用过程方法和机遇风险的思维。</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5)建立合理的公司组织结构,确保管理体系所需资源能被获得；</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6)建立良好的沟通机制，杜绝因沟通</w:t>
            </w:r>
            <w:r>
              <w:rPr>
                <w:rFonts w:hint="eastAsia" w:cs="宋体" w:asciiTheme="minorEastAsia" w:hAnsiTheme="minorEastAsia" w:eastAsiaTheme="minorEastAsia"/>
                <w:color w:val="auto"/>
                <w:sz w:val="21"/>
                <w:szCs w:val="21"/>
                <w:lang w:val="en-US" w:eastAsia="zh-CN"/>
              </w:rPr>
              <w:t>不当</w:t>
            </w:r>
            <w:r>
              <w:rPr>
                <w:rFonts w:hint="eastAsia" w:cs="宋体" w:asciiTheme="minorEastAsia" w:hAnsiTheme="minorEastAsia" w:eastAsiaTheme="minorEastAsia"/>
                <w:color w:val="auto"/>
                <w:sz w:val="21"/>
                <w:szCs w:val="21"/>
              </w:rPr>
              <w:t>影响管理体系运行有效性；</w:t>
            </w:r>
          </w:p>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7）确保管理体系实现其预期的结果</w:t>
            </w:r>
            <w:r>
              <w:rPr>
                <w:rFonts w:hint="eastAsia" w:cs="宋体" w:asciiTheme="minorEastAsia" w:hAnsiTheme="minorEastAsia" w:eastAsiaTheme="minorEastAsia"/>
                <w:color w:val="auto"/>
                <w:sz w:val="21"/>
                <w:szCs w:val="21"/>
                <w:lang w:eastAsia="zh-CN"/>
              </w:rPr>
              <w:t>；</w:t>
            </w:r>
          </w:p>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8)促使员工积极参与，指导和支持他们为公司管理体系的有效性作出贡献</w:t>
            </w:r>
            <w:r>
              <w:rPr>
                <w:rFonts w:hint="eastAsia" w:cs="宋体" w:asciiTheme="minorEastAsia" w:hAnsiTheme="minorEastAsia" w:eastAsiaTheme="minorEastAsia"/>
                <w:color w:val="auto"/>
                <w:sz w:val="21"/>
                <w:szCs w:val="21"/>
                <w:lang w:eastAsia="zh-CN"/>
              </w:rPr>
              <w:t>；</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9）推动公司改进和创新；</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10)做好管理岗位的</w:t>
            </w:r>
            <w:r>
              <w:rPr>
                <w:rFonts w:hint="eastAsia" w:cs="宋体" w:asciiTheme="minorEastAsia" w:hAnsiTheme="minorEastAsia" w:eastAsiaTheme="minorEastAsia"/>
                <w:color w:val="auto"/>
                <w:sz w:val="21"/>
                <w:szCs w:val="21"/>
                <w:lang w:val="en-US" w:eastAsia="zh-CN"/>
              </w:rPr>
              <w:t>职责确定和</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适当的人员</w:t>
            </w:r>
            <w:r>
              <w:rPr>
                <w:rFonts w:hint="eastAsia" w:cs="宋体" w:asciiTheme="minorEastAsia" w:hAnsiTheme="minorEastAsia" w:eastAsiaTheme="minorEastAsia"/>
                <w:color w:val="auto"/>
                <w:sz w:val="21"/>
                <w:szCs w:val="21"/>
              </w:rPr>
              <w:t>，公司内部公开发布管理者代表、安全事务代表、内审员等任命书，以支持其他管理</w:t>
            </w:r>
            <w:r>
              <w:rPr>
                <w:rFonts w:hint="eastAsia" w:cs="宋体" w:asciiTheme="minorEastAsia" w:hAnsiTheme="minorEastAsia" w:eastAsiaTheme="minorEastAsia"/>
                <w:color w:val="auto"/>
                <w:sz w:val="21"/>
                <w:szCs w:val="21"/>
                <w:lang w:val="en-US" w:eastAsia="zh-CN"/>
              </w:rPr>
              <w:t>人员</w:t>
            </w:r>
            <w:r>
              <w:rPr>
                <w:rFonts w:hint="eastAsia" w:cs="宋体" w:asciiTheme="minorEastAsia" w:hAnsiTheme="minorEastAsia" w:eastAsiaTheme="minorEastAsia"/>
                <w:color w:val="auto"/>
                <w:sz w:val="21"/>
                <w:szCs w:val="21"/>
              </w:rPr>
              <w:t>在其负责领域</w:t>
            </w:r>
            <w:r>
              <w:rPr>
                <w:rFonts w:hint="eastAsia" w:cs="宋体" w:asciiTheme="minorEastAsia" w:hAnsiTheme="minorEastAsia" w:eastAsiaTheme="minorEastAsia"/>
                <w:color w:val="auto"/>
                <w:sz w:val="21"/>
                <w:szCs w:val="21"/>
                <w:lang w:val="en-US" w:eastAsia="zh-CN"/>
              </w:rPr>
              <w:t>担当</w:t>
            </w:r>
            <w:r>
              <w:rPr>
                <w:rFonts w:hint="eastAsia" w:cs="宋体" w:asciiTheme="minorEastAsia" w:hAnsiTheme="minorEastAsia" w:eastAsiaTheme="minorEastAsia"/>
                <w:color w:val="auto"/>
                <w:sz w:val="21"/>
                <w:szCs w:val="21"/>
              </w:rPr>
              <w:t>其领导作用；</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对全体员工进行了顾客关注焦点的宣传和培训，制定了</w:t>
            </w:r>
            <w:r>
              <w:rPr>
                <w:rFonts w:hint="eastAsia" w:cs="宋体" w:asciiTheme="minorEastAsia" w:hAnsiTheme="minorEastAsia" w:eastAsiaTheme="minorEastAsia"/>
                <w:color w:val="auto"/>
                <w:sz w:val="21"/>
                <w:szCs w:val="21"/>
                <w:lang w:val="en-US" w:eastAsia="zh-CN"/>
              </w:rPr>
              <w:t>公司的</w:t>
            </w:r>
            <w:r>
              <w:rPr>
                <w:rFonts w:hint="eastAsia" w:cs="宋体" w:asciiTheme="minorEastAsia" w:hAnsiTheme="minorEastAsia" w:eastAsiaTheme="minorEastAsia"/>
                <w:color w:val="auto"/>
                <w:sz w:val="21"/>
                <w:szCs w:val="21"/>
              </w:rPr>
              <w:t>管理</w:t>
            </w:r>
            <w:r>
              <w:rPr>
                <w:rFonts w:hint="eastAsia" w:cs="宋体" w:asciiTheme="minorEastAsia" w:hAnsiTheme="minorEastAsia" w:eastAsiaTheme="minorEastAsia"/>
                <w:color w:val="auto"/>
                <w:sz w:val="21"/>
                <w:szCs w:val="21"/>
                <w:lang w:val="en-US" w:eastAsia="zh-CN"/>
              </w:rPr>
              <w:t>体系</w:t>
            </w:r>
            <w:r>
              <w:rPr>
                <w:rFonts w:hint="eastAsia" w:cs="宋体" w:asciiTheme="minorEastAsia" w:hAnsiTheme="minorEastAsia" w:eastAsiaTheme="minorEastAsia"/>
                <w:color w:val="auto"/>
                <w:sz w:val="21"/>
                <w:szCs w:val="21"/>
              </w:rPr>
              <w:t>文件和管理</w:t>
            </w:r>
            <w:r>
              <w:rPr>
                <w:rFonts w:hint="eastAsia" w:cs="宋体" w:asciiTheme="minorEastAsia" w:hAnsiTheme="minorEastAsia" w:eastAsiaTheme="minorEastAsia"/>
                <w:color w:val="auto"/>
                <w:sz w:val="21"/>
                <w:szCs w:val="21"/>
                <w:lang w:val="en-US" w:eastAsia="zh-CN"/>
              </w:rPr>
              <w:t>方针、管理</w:t>
            </w:r>
            <w:r>
              <w:rPr>
                <w:rFonts w:hint="eastAsia" w:cs="宋体" w:asciiTheme="minorEastAsia" w:hAnsiTheme="minorEastAsia" w:eastAsiaTheme="minorEastAsia"/>
                <w:color w:val="auto"/>
                <w:sz w:val="21"/>
                <w:szCs w:val="21"/>
              </w:rPr>
              <w:t>目标，并按</w:t>
            </w:r>
            <w:r>
              <w:rPr>
                <w:rFonts w:hint="eastAsia" w:cs="宋体" w:asciiTheme="minorEastAsia" w:hAnsiTheme="minorEastAsia" w:eastAsiaTheme="minorEastAsia"/>
                <w:color w:val="auto"/>
                <w:sz w:val="21"/>
                <w:szCs w:val="21"/>
                <w:lang w:val="en-US" w:eastAsia="zh-CN"/>
              </w:rPr>
              <w:t>体系文件</w:t>
            </w:r>
            <w:r>
              <w:rPr>
                <w:rFonts w:hint="eastAsia" w:cs="宋体" w:asciiTheme="minorEastAsia" w:hAnsiTheme="minorEastAsia" w:eastAsiaTheme="minorEastAsia"/>
                <w:color w:val="auto"/>
                <w:sz w:val="21"/>
                <w:szCs w:val="21"/>
              </w:rPr>
              <w:t>规定进行了管理评审，目前该公司的管理体系</w:t>
            </w:r>
            <w:r>
              <w:rPr>
                <w:rFonts w:hint="eastAsia" w:cs="宋体" w:asciiTheme="minorEastAsia" w:hAnsiTheme="minorEastAsia" w:eastAsiaTheme="minorEastAsia"/>
                <w:color w:val="auto"/>
                <w:sz w:val="21"/>
                <w:szCs w:val="21"/>
                <w:lang w:val="en-US" w:eastAsia="zh-CN"/>
              </w:rPr>
              <w:t>职责和权限</w:t>
            </w:r>
            <w:r>
              <w:rPr>
                <w:rFonts w:hint="eastAsia" w:cs="宋体" w:asciiTheme="minorEastAsia" w:hAnsiTheme="minorEastAsia" w:eastAsiaTheme="minorEastAsia"/>
                <w:color w:val="auto"/>
                <w:sz w:val="21"/>
                <w:szCs w:val="21"/>
              </w:rPr>
              <w:t>基本得到了落实。管理层通过制定方针和目标并通过会议、培训等形式要求员工理解企业的方针目标以及传达守法经营及达到顾客满意的质量意识的重要性并形成制度化，强调企业实施管理体系管理的重要性。</w:t>
            </w:r>
            <w:r>
              <w:rPr>
                <w:rFonts w:hint="eastAsia" w:cs="宋体" w:asciiTheme="minorEastAsia" w:hAnsiTheme="minorEastAsia" w:eastAsiaTheme="minorEastAsia"/>
                <w:color w:val="auto"/>
                <w:sz w:val="21"/>
                <w:szCs w:val="21"/>
                <w:lang w:val="en-US" w:eastAsia="zh-CN"/>
              </w:rPr>
              <w:t>作为总经理我确保</w:t>
            </w:r>
            <w:r>
              <w:rPr>
                <w:rFonts w:hint="eastAsia" w:cs="宋体" w:asciiTheme="minorEastAsia" w:hAnsiTheme="minorEastAsia" w:eastAsiaTheme="minorEastAsia"/>
                <w:color w:val="auto"/>
                <w:sz w:val="21"/>
                <w:szCs w:val="21"/>
              </w:rPr>
              <w:t>资源提供充分并通过定期进行管理评审发现过程中存在的问题并加以改进，承诺基本有效。企业通过</w:t>
            </w:r>
            <w:r>
              <w:rPr>
                <w:rFonts w:hint="eastAsia" w:cs="宋体" w:asciiTheme="minorEastAsia" w:hAnsiTheme="minorEastAsia" w:eastAsiaTheme="minorEastAsia"/>
                <w:color w:val="auto"/>
                <w:sz w:val="21"/>
                <w:szCs w:val="21"/>
                <w:lang w:val="en-US" w:eastAsia="zh-CN"/>
              </w:rPr>
              <w:t>采取</w:t>
            </w:r>
            <w:r>
              <w:rPr>
                <w:rFonts w:hint="eastAsia" w:cs="宋体" w:asciiTheme="minorEastAsia" w:hAnsiTheme="minorEastAsia" w:eastAsiaTheme="minorEastAsia"/>
                <w:color w:val="auto"/>
                <w:sz w:val="21"/>
                <w:szCs w:val="21"/>
              </w:rPr>
              <w:t>会议、培训等形式要求员工理解公司的方针和目标，以及遵守法律法规的重要性及顾客满意的重要性，并形成制度化，规定了定期检查落实的情况，并有具体要求。</w:t>
            </w:r>
          </w:p>
          <w:p>
            <w:pPr>
              <w:pStyle w:val="2"/>
              <w:spacing w:line="360" w:lineRule="auto"/>
              <w:ind w:firstLine="460" w:firstLineChars="200"/>
              <w:rPr>
                <w:rFonts w:hint="eastAsia"/>
                <w:sz w:val="21"/>
                <w:szCs w:val="21"/>
                <w:lang w:val="en-US" w:eastAsia="zh-CN"/>
              </w:rPr>
            </w:pP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承诺基本实现，没有</w:t>
            </w:r>
            <w:r>
              <w:rPr>
                <w:rFonts w:hint="eastAsia" w:cs="宋体" w:asciiTheme="minorEastAsia" w:hAnsiTheme="minorEastAsia" w:eastAsiaTheme="minorEastAsia"/>
                <w:color w:val="auto"/>
                <w:sz w:val="21"/>
                <w:szCs w:val="21"/>
                <w:lang w:val="en-US" w:eastAsia="zh-CN"/>
              </w:rPr>
              <w:t>出现</w:t>
            </w:r>
            <w:r>
              <w:rPr>
                <w:rFonts w:hint="eastAsia" w:cs="宋体" w:asciiTheme="minorEastAsia" w:hAnsiTheme="minorEastAsia" w:eastAsiaTheme="minorEastAsia"/>
                <w:color w:val="auto"/>
                <w:sz w:val="21"/>
                <w:szCs w:val="21"/>
              </w:rPr>
              <w:t>违反</w:t>
            </w:r>
            <w:r>
              <w:rPr>
                <w:rFonts w:hint="eastAsia" w:cs="宋体" w:asciiTheme="minorEastAsia" w:hAnsiTheme="minorEastAsia" w:eastAsiaTheme="minorEastAsia"/>
                <w:color w:val="auto"/>
                <w:sz w:val="21"/>
                <w:szCs w:val="21"/>
                <w:lang w:val="en-US" w:eastAsia="zh-CN"/>
              </w:rPr>
              <w:t>顾客要求及产生环境、安全事故等事件</w:t>
            </w:r>
            <w:r>
              <w:rPr>
                <w:rFonts w:hint="eastAsia" w:cs="宋体" w:asciiTheme="minorEastAsia" w:hAnsiTheme="minorEastAsia" w:eastAsiaTheme="minorEastAsia"/>
                <w:color w:val="auto"/>
                <w:sz w:val="21"/>
                <w:szCs w:val="21"/>
              </w:rPr>
              <w:t>的情况发生。</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以顾客为关注焦点</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Q5.1.2</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总经理证实其以顾客为关注焦点的领导作用和承诺，通过以下方面实现：</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a) 确定、理解并持续满足顾客要求以及适用的法律法规要求；</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b) 确定和应对能够影响产品、产品符合性以及增强顾客满意能力的风险和机遇；</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c) 始终致力于增强顾客满意。</w:t>
            </w:r>
          </w:p>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详见审核Q9.1.2条款记录。</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方针</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制定方针</w:t>
            </w:r>
          </w:p>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沟通方针</w:t>
            </w: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S5.2</w:t>
            </w:r>
          </w:p>
          <w:p>
            <w:pPr>
              <w:spacing w:line="360" w:lineRule="auto"/>
              <w:rPr>
                <w:sz w:val="21"/>
                <w:szCs w:val="21"/>
              </w:rPr>
            </w:pPr>
          </w:p>
        </w:tc>
        <w:tc>
          <w:tcPr>
            <w:tcW w:w="10004" w:type="dxa"/>
          </w:tcPr>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查管理手册，</w:t>
            </w:r>
            <w:r>
              <w:rPr>
                <w:rFonts w:hint="eastAsia" w:cs="宋体" w:asciiTheme="minorEastAsia" w:hAnsiTheme="minorEastAsia" w:eastAsiaTheme="minorEastAsia"/>
                <w:color w:val="auto"/>
                <w:sz w:val="21"/>
                <w:szCs w:val="21"/>
              </w:rPr>
              <w:t>该公司管理方针</w:t>
            </w:r>
            <w:r>
              <w:rPr>
                <w:rFonts w:hint="eastAsia" w:cs="宋体" w:asciiTheme="minorEastAsia" w:hAnsiTheme="minorEastAsia"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0"/>
                <w:rFonts w:hint="eastAsia" w:asciiTheme="minorEastAsia" w:hAnsiTheme="minorEastAsia" w:eastAsiaTheme="minorEastAsia" w:cstheme="minorEastAsia"/>
                <w:b w:val="0"/>
                <w:bCs w:val="0"/>
                <w:color w:val="auto"/>
                <w:sz w:val="21"/>
                <w:szCs w:val="21"/>
              </w:rPr>
            </w:pPr>
            <w:r>
              <w:rPr>
                <w:rStyle w:val="10"/>
                <w:rFonts w:hint="eastAsia" w:asciiTheme="minorEastAsia" w:hAnsiTheme="minorEastAsia" w:eastAsiaTheme="minorEastAsia" w:cstheme="minorEastAsia"/>
                <w:b w:val="0"/>
                <w:bCs w:val="0"/>
                <w:color w:val="auto"/>
                <w:sz w:val="21"/>
                <w:szCs w:val="21"/>
              </w:rPr>
              <w:t>技术领航，顾客满意；节能降耗，保护环境；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color w:val="auto"/>
                <w:sz w:val="21"/>
                <w:szCs w:val="21"/>
              </w:rPr>
            </w:pPr>
            <w:r>
              <w:rPr>
                <w:rStyle w:val="10"/>
                <w:rFonts w:hint="eastAsia" w:asciiTheme="minorEastAsia" w:hAnsiTheme="minorEastAsia" w:eastAsiaTheme="minorEastAsia" w:cstheme="minorEastAsia"/>
                <w:b w:val="0"/>
                <w:bCs w:val="0"/>
                <w:color w:val="auto"/>
                <w:sz w:val="21"/>
                <w:szCs w:val="21"/>
              </w:rPr>
              <w:t>健康安全，诚信守法；规范管理，持续改进</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公司以质量、环境、职业健康安全标准为基础，结合公司实际特制定管理方针。与总经理进行交谈，总经理对方针内涵的理解较深刻。</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方针能为制定目</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标提供框架，</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方针基本符合标准的要求。</w:t>
            </w:r>
          </w:p>
          <w:p>
            <w:pPr>
              <w:spacing w:line="360" w:lineRule="auto"/>
              <w:ind w:firstLine="420" w:firstLineChars="200"/>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val="en-US" w:eastAsia="zh-CN"/>
              </w:rPr>
              <w:t>介绍：采用</w:t>
            </w:r>
            <w:r>
              <w:rPr>
                <w:rFonts w:hint="eastAsia" w:cs="宋体" w:asciiTheme="minorEastAsia" w:hAnsiTheme="minorEastAsia" w:eastAsiaTheme="minorEastAsia"/>
                <w:color w:val="auto"/>
                <w:sz w:val="21"/>
                <w:szCs w:val="21"/>
              </w:rPr>
              <w:t>会议、文件等手段保证管理方针为全体员工理解并落实到工作中。</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总经理介绍管理评审时对方针的持续适宜性进行了评审，</w:t>
            </w:r>
            <w:r>
              <w:rPr>
                <w:rFonts w:hint="eastAsia" w:cs="宋体" w:asciiTheme="minorEastAsia" w:hAnsiTheme="minorEastAsia" w:eastAsiaTheme="minorEastAsia"/>
                <w:color w:val="auto"/>
                <w:sz w:val="21"/>
                <w:szCs w:val="21"/>
                <w:lang w:val="en-US" w:eastAsia="zh-CN"/>
              </w:rPr>
              <w:t>提供</w:t>
            </w:r>
            <w:r>
              <w:rPr>
                <w:rFonts w:hint="eastAsia" w:cs="宋体" w:asciiTheme="minorEastAsia" w:hAnsiTheme="minorEastAsia" w:eastAsiaTheme="minorEastAsia"/>
                <w:color w:val="auto"/>
                <w:sz w:val="21"/>
                <w:szCs w:val="21"/>
              </w:rPr>
              <w:t>评审记录。</w:t>
            </w:r>
            <w:r>
              <w:rPr>
                <w:rFonts w:hint="eastAsia" w:cs="宋体" w:asciiTheme="minorEastAsia" w:hAnsiTheme="minorEastAsia" w:eastAsiaTheme="minorEastAsia"/>
                <w:color w:val="auto"/>
                <w:sz w:val="21"/>
                <w:szCs w:val="21"/>
                <w:lang w:val="en-US" w:eastAsia="zh-CN"/>
              </w:rPr>
              <w:t>具体见管理评审相关资料。</w:t>
            </w:r>
          </w:p>
          <w:p>
            <w:pPr>
              <w:pStyle w:val="2"/>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以上管理方针通过文件、培训等形式将公司管理方针传达给所有为公司工作或代表公司的人员，相关方也可通过</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获取公司管理方针。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组织的岗位、职责和权限</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S5.3</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确定了部门、各岗位人员职责、权限和相互关系，并在公司内对各级员工进行了必要</w:t>
            </w:r>
            <w:r>
              <w:rPr>
                <w:rFonts w:hint="eastAsia" w:cs="宋体" w:asciiTheme="minorEastAsia" w:hAnsiTheme="minorEastAsia" w:eastAsiaTheme="minorEastAsia"/>
                <w:color w:val="auto"/>
                <w:sz w:val="21"/>
                <w:szCs w:val="21"/>
                <w:lang w:val="en-US" w:eastAsia="zh-CN"/>
              </w:rPr>
              <w:t>培训及</w:t>
            </w:r>
            <w:r>
              <w:rPr>
                <w:rFonts w:hint="eastAsia" w:cs="宋体" w:asciiTheme="minorEastAsia" w:hAnsiTheme="minorEastAsia" w:eastAsiaTheme="minorEastAsia"/>
                <w:color w:val="auto"/>
                <w:sz w:val="21"/>
                <w:szCs w:val="21"/>
              </w:rPr>
              <w:t>传达。对从事与产品</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销售有关的管理、执行和验证人员规定其职责、权限及其相互关系，以实现公司管理方针和管理目标。建立、实施和保持公司管理体系所需的过程，公司</w:t>
            </w:r>
            <w:r>
              <w:rPr>
                <w:rFonts w:hint="eastAsia" w:cs="宋体" w:asciiTheme="minorEastAsia" w:hAnsiTheme="minorEastAsia" w:eastAsiaTheme="minorEastAsia"/>
                <w:color w:val="auto"/>
                <w:sz w:val="21"/>
                <w:szCs w:val="21"/>
                <w:lang w:val="en-US" w:eastAsia="zh-CN"/>
              </w:rPr>
              <w:t>总经理</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副总经理</w:t>
            </w:r>
            <w:r>
              <w:rPr>
                <w:rFonts w:hint="eastAsia" w:cs="宋体" w:asciiTheme="minorEastAsia" w:hAnsiTheme="minorEastAsia" w:eastAsiaTheme="minorEastAsia"/>
                <w:color w:val="auto"/>
                <w:sz w:val="21"/>
                <w:szCs w:val="21"/>
                <w:lang w:eastAsia="zh-CN"/>
              </w:rPr>
              <w:t>胡金龙</w:t>
            </w:r>
            <w:r>
              <w:rPr>
                <w:rFonts w:hint="eastAsia" w:cs="宋体" w:asciiTheme="minorEastAsia" w:hAnsiTheme="minorEastAsia" w:eastAsiaTheme="minorEastAsia"/>
                <w:color w:val="auto"/>
                <w:sz w:val="21"/>
                <w:szCs w:val="21"/>
                <w:lang w:val="en-US" w:eastAsia="zh-CN"/>
              </w:rPr>
              <w:t>兼</w:t>
            </w:r>
            <w:r>
              <w:rPr>
                <w:rFonts w:hint="eastAsia" w:cs="宋体" w:asciiTheme="minorEastAsia" w:hAnsiTheme="minorEastAsia" w:eastAsiaTheme="minorEastAsia"/>
                <w:color w:val="auto"/>
                <w:sz w:val="21"/>
                <w:szCs w:val="21"/>
              </w:rPr>
              <w:t>管理体系的管理者代表。</w:t>
            </w:r>
            <w:r>
              <w:rPr>
                <w:rFonts w:hint="eastAsia" w:cs="宋体" w:asciiTheme="minorEastAsia" w:hAnsiTheme="minorEastAsia" w:eastAsiaTheme="minorEastAsia"/>
                <w:color w:val="auto"/>
                <w:sz w:val="21"/>
                <w:szCs w:val="21"/>
                <w:lang w:val="en-US" w:eastAsia="zh-CN"/>
              </w:rPr>
              <w:t>安全事务代表阳山</w:t>
            </w:r>
            <w:r>
              <w:rPr>
                <w:rFonts w:hint="eastAsia" w:cs="宋体" w:asciiTheme="minorEastAsia" w:hAnsiTheme="minorEastAsia" w:eastAsiaTheme="minorEastAsia"/>
                <w:color w:val="auto"/>
                <w:sz w:val="21"/>
                <w:szCs w:val="21"/>
              </w:rPr>
              <w:t>其职责和权限规定如下：</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确保本公司管理体系所需的过程得到建立、实施和保持，代表总经理行使职权；</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询问管代</w:t>
            </w:r>
            <w:r>
              <w:rPr>
                <w:rFonts w:hint="eastAsia" w:cs="宋体" w:asciiTheme="minorEastAsia" w:hAnsiTheme="minorEastAsia" w:eastAsiaTheme="minorEastAsia"/>
                <w:color w:val="auto"/>
                <w:sz w:val="21"/>
                <w:szCs w:val="21"/>
                <w:lang w:eastAsia="zh-CN"/>
              </w:rPr>
              <w:t>胡金龙，</w:t>
            </w:r>
            <w:r>
              <w:rPr>
                <w:rFonts w:hint="eastAsia" w:cs="宋体" w:asciiTheme="minorEastAsia" w:hAnsiTheme="minorEastAsia" w:eastAsiaTheme="minorEastAsia"/>
                <w:color w:val="auto"/>
                <w:sz w:val="21"/>
                <w:szCs w:val="21"/>
                <w:lang w:val="en-US" w:eastAsia="zh-CN"/>
              </w:rPr>
              <w:t>对其承担的</w:t>
            </w:r>
            <w:r>
              <w:rPr>
                <w:rFonts w:hint="eastAsia" w:cs="宋体" w:asciiTheme="minorEastAsia" w:hAnsiTheme="minorEastAsia" w:eastAsiaTheme="minorEastAsia"/>
                <w:color w:val="auto"/>
                <w:sz w:val="21"/>
                <w:szCs w:val="21"/>
              </w:rPr>
              <w:t>职责回答基本</w:t>
            </w:r>
            <w:r>
              <w:rPr>
                <w:rFonts w:hint="eastAsia" w:cs="宋体" w:asciiTheme="minorEastAsia" w:hAnsiTheme="minorEastAsia" w:eastAsiaTheme="minorEastAsia"/>
                <w:color w:val="auto"/>
                <w:sz w:val="21"/>
                <w:szCs w:val="21"/>
                <w:lang w:val="en-US" w:eastAsia="zh-CN"/>
              </w:rPr>
              <w:t>清楚</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及介绍在体系运行中的一些包括文件编制、体系策划、内审、环境因素、危险源识别/控制所承担的工作。</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 xml:space="preserve">工作人员的协商和参与 </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S5.4</w:t>
            </w:r>
          </w:p>
        </w:tc>
        <w:tc>
          <w:tcPr>
            <w:tcW w:w="10004" w:type="dxa"/>
          </w:tcPr>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管理手册中包含了工作人员代表的任命书，</w:t>
            </w:r>
            <w:r>
              <w:rPr>
                <w:rFonts w:hint="eastAsia"/>
                <w:sz w:val="21"/>
                <w:szCs w:val="21"/>
                <w:lang w:val="en-US" w:eastAsia="zh-CN"/>
              </w:rPr>
              <w:t>员工代表-宋少白、刘军；</w:t>
            </w:r>
            <w:r>
              <w:rPr>
                <w:rFonts w:hint="eastAsia" w:cs="宋体" w:asciiTheme="minorEastAsia" w:hAnsiTheme="minorEastAsia" w:eastAsiaTheme="minorEastAsia"/>
                <w:color w:val="auto"/>
                <w:sz w:val="21"/>
                <w:szCs w:val="21"/>
                <w:lang w:val="en-US" w:eastAsia="zh-CN"/>
              </w:rPr>
              <w:t>由总经理批准，并规定了其职责与权限：</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参与公司管理方针的制定、实施和评审;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参与审议有关职业健康和安全的重大事宜;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参与公司职业健康安全事故的统计,报告和调查处理情况的监督;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对本公司劳动保护执行情况进行监督,维护员工的合法权益;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对改善员工的工作条件提出建议;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履行群众监督检查职责，向领导反映公司管理体系运行状况；</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协助管理者代表推进管理体系的有效运行。</w:t>
            </w:r>
          </w:p>
          <w:p>
            <w:pPr>
              <w:pStyle w:val="2"/>
              <w:spacing w:line="360" w:lineRule="auto"/>
              <w:rPr>
                <w:rFonts w:hint="default" w:cs="宋体" w:asciiTheme="minorEastAsia" w:hAnsiTheme="minorEastAsia" w:eastAsiaTheme="minorEastAsia"/>
                <w:color w:val="auto"/>
                <w:sz w:val="21"/>
                <w:szCs w:val="21"/>
                <w:lang w:val="en-US" w:eastAsia="zh-CN"/>
              </w:rPr>
            </w:pP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应对风险和机遇的措施</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S6</w:t>
            </w:r>
            <w:r>
              <w:rPr>
                <w:rFonts w:hint="eastAsia" w:cs="宋体" w:asciiTheme="minorEastAsia" w:hAnsiTheme="minorEastAsia" w:eastAsiaTheme="minorEastAsia"/>
                <w:color w:val="auto"/>
                <w:sz w:val="21"/>
                <w:szCs w:val="21"/>
              </w:rPr>
              <w:t>.1</w:t>
            </w:r>
          </w:p>
          <w:p>
            <w:pPr>
              <w:spacing w:line="360" w:lineRule="auto"/>
              <w:rPr>
                <w:rFonts w:hint="eastAsia"/>
                <w:sz w:val="21"/>
                <w:szCs w:val="21"/>
                <w:lang w:val="en-US" w:eastAsia="zh-CN"/>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制定了《风险和机遇的应对控制程序》，明确风险和机遇事件的识别方法/途径、风险和机遇事件的评估方式、制定主要风险和机遇事件的应对措施的要求、评价这些措施有效性的方法。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提供“风险与机遇评价与应对措施表”，编制人：周晨</w:t>
            </w:r>
            <w:r>
              <w:rPr>
                <w:rFonts w:hint="eastAsia" w:ascii="宋体" w:hAnsi="宋体" w:cs="宋体"/>
                <w:color w:val="auto"/>
                <w:sz w:val="21"/>
                <w:szCs w:val="21"/>
                <w:lang w:eastAsia="zh-CN"/>
              </w:rPr>
              <w:t>；</w:t>
            </w:r>
            <w:r>
              <w:rPr>
                <w:rFonts w:hint="eastAsia" w:ascii="宋体" w:hAnsi="宋体" w:cs="宋体"/>
                <w:color w:val="auto"/>
                <w:sz w:val="21"/>
                <w:szCs w:val="21"/>
              </w:rPr>
              <w:t>编制日期2021.5.28                             审核人：胡金龙</w:t>
            </w:r>
            <w:r>
              <w:rPr>
                <w:rFonts w:hint="eastAsia" w:ascii="宋体" w:hAnsi="宋体" w:cs="宋体"/>
                <w:color w:val="auto"/>
                <w:sz w:val="21"/>
                <w:szCs w:val="21"/>
                <w:lang w:eastAsia="zh-CN"/>
              </w:rPr>
              <w:t>；</w:t>
            </w:r>
            <w:r>
              <w:rPr>
                <w:rFonts w:hint="eastAsia" w:ascii="宋体" w:hAnsi="宋体" w:cs="宋体"/>
                <w:color w:val="auto"/>
                <w:sz w:val="21"/>
                <w:szCs w:val="21"/>
              </w:rPr>
              <w:t xml:space="preserve"> 审核日期2021.5.28</w:t>
            </w:r>
            <w:r>
              <w:rPr>
                <w:rFonts w:hint="eastAsia" w:ascii="宋体" w:hAnsi="宋体" w:cs="宋体"/>
                <w:color w:val="auto"/>
                <w:sz w:val="21"/>
                <w:szCs w:val="21"/>
                <w:lang w:eastAsia="zh-CN"/>
              </w:rPr>
              <w:t>；</w:t>
            </w:r>
            <w:r>
              <w:rPr>
                <w:rFonts w:hint="eastAsia" w:ascii="宋体" w:hAnsi="宋体" w:cs="宋体"/>
                <w:color w:val="auto"/>
                <w:sz w:val="21"/>
                <w:szCs w:val="21"/>
              </w:rPr>
              <w:t>按照</w:t>
            </w:r>
            <w:r>
              <w:rPr>
                <w:rFonts w:hint="eastAsia" w:ascii="宋体" w:hAnsi="宋体" w:cs="宋体"/>
                <w:color w:val="auto"/>
                <w:sz w:val="21"/>
                <w:szCs w:val="21"/>
                <w:lang w:val="en-US" w:eastAsia="zh-CN"/>
              </w:rPr>
              <w:t>公司内外部因素；产品的生产及</w:t>
            </w:r>
            <w:r>
              <w:rPr>
                <w:rFonts w:hint="eastAsia" w:asciiTheme="minorEastAsia" w:hAnsiTheme="minorEastAsia" w:eastAsiaTheme="minorEastAsia"/>
                <w:color w:val="auto"/>
                <w:sz w:val="21"/>
                <w:szCs w:val="21"/>
              </w:rPr>
              <w:t>销售</w:t>
            </w:r>
            <w:r>
              <w:rPr>
                <w:rFonts w:hint="eastAsia" w:ascii="宋体" w:hAnsi="宋体" w:cs="宋体"/>
                <w:color w:val="auto"/>
                <w:sz w:val="21"/>
                <w:szCs w:val="21"/>
              </w:rPr>
              <w:t>等过程</w:t>
            </w:r>
            <w:r>
              <w:rPr>
                <w:rFonts w:ascii="宋体" w:hAnsi="宋体" w:cs="宋体"/>
                <w:color w:val="auto"/>
                <w:sz w:val="21"/>
                <w:szCs w:val="21"/>
              </w:rPr>
              <w:t>/部门对风险和机遇进行了评价识别，并制定应对措施。</w:t>
            </w:r>
          </w:p>
          <w:p>
            <w:pPr>
              <w:spacing w:line="360" w:lineRule="auto"/>
              <w:ind w:firstLine="420" w:firstLineChars="200"/>
              <w:rPr>
                <w:rFonts w:hint="eastAsia" w:ascii="宋体" w:hAnsi="宋体" w:cs="宋体"/>
                <w:color w:val="auto"/>
                <w:sz w:val="21"/>
                <w:szCs w:val="21"/>
                <w:lang w:eastAsia="zh-CN"/>
              </w:rPr>
            </w:pPr>
            <w:r>
              <w:rPr>
                <w:rFonts w:ascii="宋体" w:hAnsi="宋体" w:cs="宋体"/>
                <w:color w:val="auto"/>
                <w:sz w:val="21"/>
                <w:szCs w:val="21"/>
              </w:rPr>
              <w:t>如</w:t>
            </w:r>
            <w:r>
              <w:rPr>
                <w:rFonts w:hint="eastAsia" w:ascii="宋体" w:hAnsi="宋体" w:cs="宋体"/>
                <w:color w:val="auto"/>
                <w:sz w:val="21"/>
                <w:szCs w:val="21"/>
              </w:rPr>
              <w:t>外部因素</w:t>
            </w:r>
            <w:r>
              <w:rPr>
                <w:rFonts w:hint="eastAsia" w:ascii="宋体" w:hAnsi="宋体" w:cs="宋体"/>
                <w:color w:val="auto"/>
                <w:sz w:val="21"/>
                <w:szCs w:val="21"/>
                <w:lang w:eastAsia="zh-CN"/>
              </w:rPr>
              <w:t>：法律、法规内容的变化，行业标准的变化，客户的需求，供应商的要求，第三方的要求</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     </w:t>
            </w:r>
          </w:p>
          <w:p>
            <w:pPr>
              <w:spacing w:line="360" w:lineRule="auto"/>
              <w:ind w:firstLine="420" w:firstLineChars="200"/>
              <w:rPr>
                <w:rFonts w:ascii="宋体" w:hAnsi="宋体" w:cs="宋体"/>
                <w:color w:val="auto"/>
                <w:sz w:val="21"/>
                <w:szCs w:val="21"/>
              </w:rPr>
            </w:pPr>
            <w:r>
              <w:rPr>
                <w:rFonts w:ascii="宋体" w:hAnsi="宋体" w:cs="宋体"/>
                <w:color w:val="auto"/>
                <w:sz w:val="21"/>
                <w:szCs w:val="21"/>
              </w:rPr>
              <w:t>采取措施是：</w:t>
            </w:r>
            <w:r>
              <w:rPr>
                <w:rFonts w:hint="eastAsia" w:ascii="宋体" w:hAnsi="宋体" w:cs="宋体"/>
                <w:color w:val="auto"/>
                <w:sz w:val="21"/>
                <w:szCs w:val="21"/>
              </w:rPr>
              <w:t>1.主要职能部门按照要求定期收集评法律法规2销售部门加大市场开拓</w:t>
            </w:r>
            <w:r>
              <w:rPr>
                <w:rFonts w:hint="eastAsia" w:ascii="宋体" w:hAnsi="宋体" w:cs="宋体"/>
                <w:color w:val="auto"/>
                <w:sz w:val="21"/>
                <w:szCs w:val="21"/>
                <w:lang w:eastAsia="zh-CN"/>
              </w:rPr>
              <w:t>；1.加强与客户进行质量标准制定的沟通，统一双方的标准和检测方法 2.生产部门做好生产计划的安排，保证生产计划的执行</w:t>
            </w:r>
            <w:r>
              <w:rPr>
                <w:rFonts w:hint="eastAsia" w:ascii="宋体" w:hAnsi="宋体" w:cs="宋体"/>
                <w:color w:val="auto"/>
                <w:sz w:val="21"/>
                <w:szCs w:val="21"/>
              </w:rPr>
              <w:t> 3</w:t>
            </w:r>
            <w:r>
              <w:rPr>
                <w:rFonts w:hint="eastAsia" w:ascii="宋体" w:hAnsi="宋体" w:cs="宋体"/>
                <w:color w:val="auto"/>
                <w:sz w:val="21"/>
                <w:szCs w:val="21"/>
                <w:lang w:val="en-US" w:eastAsia="zh-CN"/>
              </w:rPr>
              <w:t>.</w:t>
            </w:r>
            <w:r>
              <w:rPr>
                <w:rFonts w:hint="eastAsia" w:ascii="宋体" w:hAnsi="宋体" w:cs="宋体"/>
                <w:color w:val="auto"/>
                <w:sz w:val="21"/>
                <w:szCs w:val="21"/>
              </w:rPr>
              <w:t>销售部加大客户交流沟通，及时处理客户的需求和意见</w:t>
            </w:r>
            <w:r>
              <w:rPr>
                <w:rFonts w:hint="eastAsia" w:ascii="宋体" w:hAnsi="宋体" w:cs="宋体"/>
                <w:color w:val="auto"/>
                <w:sz w:val="21"/>
                <w:szCs w:val="21"/>
                <w:lang w:eastAsia="zh-CN"/>
              </w:rPr>
              <w:t>；对公司影响较大的大宗原材料做好年度采购计划 ；各职能部门加强与第三方的沟通，对第三方的要求及时进行处理，必要时及时提交公司高层进行资源配置，降低第三的抱怨</w:t>
            </w:r>
            <w:r>
              <w:rPr>
                <w:rFonts w:hint="eastAsia" w:ascii="宋体" w:hAnsi="宋体" w:cs="宋体"/>
                <w:color w:val="auto"/>
                <w:sz w:val="21"/>
                <w:szCs w:val="21"/>
                <w:lang w:val="en-US" w:eastAsia="zh-CN"/>
              </w:rPr>
              <w:t>等。。。。。。</w:t>
            </w:r>
            <w:r>
              <w:rPr>
                <w:rFonts w:hint="eastAsia" w:ascii="宋体" w:hAnsi="宋体" w:cs="宋体"/>
                <w:color w:val="auto"/>
                <w:sz w:val="21"/>
                <w:szCs w:val="21"/>
              </w:rPr>
              <w:t>  </w:t>
            </w:r>
          </w:p>
          <w:p>
            <w:pPr>
              <w:spacing w:line="360" w:lineRule="auto"/>
              <w:ind w:firstLine="420" w:firstLineChars="200"/>
              <w:rPr>
                <w:rFonts w:ascii="宋体" w:hAnsi="宋体" w:cs="宋体"/>
                <w:color w:val="auto"/>
                <w:sz w:val="21"/>
                <w:szCs w:val="21"/>
              </w:rPr>
            </w:pPr>
          </w:p>
          <w:p>
            <w:pPr>
              <w:spacing w:line="360" w:lineRule="auto"/>
              <w:ind w:firstLine="420" w:firstLineChars="200"/>
              <w:rPr>
                <w:rFonts w:hint="default" w:ascii="宋体" w:hAnsi="宋体" w:cs="宋体"/>
                <w:color w:val="auto"/>
                <w:sz w:val="21"/>
                <w:szCs w:val="21"/>
                <w:lang w:val="en-US"/>
              </w:rPr>
            </w:pPr>
            <w:r>
              <w:rPr>
                <w:rFonts w:ascii="宋体" w:hAnsi="宋体" w:cs="宋体"/>
                <w:color w:val="auto"/>
                <w:sz w:val="21"/>
                <w:szCs w:val="21"/>
              </w:rPr>
              <w:t>如</w:t>
            </w:r>
            <w:r>
              <w:rPr>
                <w:rFonts w:hint="eastAsia" w:ascii="宋体" w:hAnsi="宋体" w:cs="宋体"/>
                <w:color w:val="auto"/>
                <w:sz w:val="21"/>
                <w:szCs w:val="21"/>
                <w:lang w:val="en-US" w:eastAsia="zh-CN"/>
              </w:rPr>
              <w:t>内</w:t>
            </w:r>
            <w:r>
              <w:rPr>
                <w:rFonts w:hint="eastAsia" w:ascii="宋体" w:hAnsi="宋体" w:cs="宋体"/>
                <w:color w:val="auto"/>
                <w:sz w:val="21"/>
                <w:szCs w:val="21"/>
              </w:rPr>
              <w:t>部因素</w:t>
            </w:r>
            <w:r>
              <w:rPr>
                <w:rFonts w:hint="eastAsia" w:ascii="宋体" w:hAnsi="宋体" w:cs="宋体"/>
                <w:color w:val="auto"/>
                <w:sz w:val="21"/>
                <w:szCs w:val="21"/>
                <w:lang w:eastAsia="zh-CN"/>
              </w:rPr>
              <w:t>：管理流程，生产能力，售后服务，费用支付 资金回收</w:t>
            </w:r>
            <w:r>
              <w:rPr>
                <w:rFonts w:hint="eastAsia" w:ascii="宋体" w:hAnsi="宋体" w:cs="宋体"/>
                <w:color w:val="auto"/>
                <w:sz w:val="21"/>
                <w:szCs w:val="21"/>
                <w:lang w:val="en-US" w:eastAsia="zh-CN"/>
              </w:rPr>
              <w:t>等。。。。。。</w:t>
            </w:r>
          </w:p>
          <w:p>
            <w:pPr>
              <w:spacing w:line="360" w:lineRule="auto"/>
              <w:ind w:firstLine="420" w:firstLineChars="200"/>
              <w:rPr>
                <w:rFonts w:hint="eastAsia" w:ascii="宋体" w:hAnsi="宋体" w:eastAsia="宋体" w:cs="宋体"/>
                <w:color w:val="auto"/>
                <w:sz w:val="21"/>
                <w:szCs w:val="21"/>
                <w:lang w:val="en-US" w:eastAsia="zh-CN"/>
              </w:rPr>
            </w:pPr>
            <w:r>
              <w:rPr>
                <w:rFonts w:ascii="宋体" w:hAnsi="宋体" w:cs="宋体"/>
                <w:color w:val="auto"/>
                <w:sz w:val="21"/>
                <w:szCs w:val="21"/>
              </w:rPr>
              <w:t>采取措施是：</w:t>
            </w:r>
            <w:r>
              <w:rPr>
                <w:rFonts w:hint="eastAsia" w:ascii="宋体" w:hAnsi="宋体" w:cs="宋体"/>
                <w:color w:val="auto"/>
                <w:sz w:val="21"/>
                <w:szCs w:val="21"/>
              </w:rPr>
              <w:t>1.各级部门必须严格按照流程开展日常工作，对出现的不符合情况及时调整文件，保持流程的可操作性； 2.公司组织定期组织进行流程的评审。1. 生产部加强生产安排计划的科学性，挖掘公司生产效率的潜能。2.加强工艺的管理控制，提高生产一次成功率</w:t>
            </w:r>
            <w:r>
              <w:rPr>
                <w:rFonts w:hint="eastAsia" w:ascii="宋体" w:hAnsi="宋体" w:cs="宋体"/>
                <w:color w:val="auto"/>
                <w:sz w:val="21"/>
                <w:szCs w:val="21"/>
                <w:lang w:eastAsia="zh-CN"/>
              </w:rPr>
              <w:t>。</w:t>
            </w:r>
            <w:r>
              <w:rPr>
                <w:rFonts w:hint="eastAsia" w:ascii="宋体" w:hAnsi="宋体" w:cs="宋体"/>
                <w:color w:val="auto"/>
                <w:sz w:val="21"/>
                <w:szCs w:val="21"/>
              </w:rPr>
              <w:t> </w:t>
            </w:r>
            <w:r>
              <w:rPr>
                <w:rFonts w:hint="eastAsia" w:ascii="宋体" w:hAnsi="宋体" w:cs="宋体"/>
                <w:color w:val="auto"/>
                <w:sz w:val="21"/>
                <w:szCs w:val="21"/>
                <w:lang w:val="en-US" w:eastAsia="zh-CN"/>
              </w:rPr>
              <w:t>1.</w:t>
            </w:r>
            <w:r>
              <w:rPr>
                <w:rFonts w:hint="eastAsia" w:ascii="宋体" w:hAnsi="宋体" w:cs="宋体"/>
                <w:color w:val="auto"/>
                <w:sz w:val="21"/>
                <w:szCs w:val="21"/>
              </w:rPr>
              <w:t>销售部门和产品部要严格按照售后服务管理规定，做好客户服务工作，提高客户满意度</w:t>
            </w:r>
            <w:r>
              <w:rPr>
                <w:rFonts w:hint="eastAsia" w:ascii="宋体" w:hAnsi="宋体" w:cs="宋体"/>
                <w:color w:val="auto"/>
                <w:sz w:val="21"/>
                <w:szCs w:val="21"/>
                <w:lang w:val="en-US" w:eastAsia="zh-CN"/>
              </w:rPr>
              <w:t xml:space="preserve"> ；1. 销售部门加快资金的回笼，减小公司资金压力，降低坏账出现的风险。2.财务部门根据公司财务情况做好财务预算，防止出现财务风险。 </w:t>
            </w:r>
          </w:p>
          <w:p>
            <w:pPr>
              <w:pStyle w:val="2"/>
              <w:spacing w:line="360" w:lineRule="auto"/>
              <w:rPr>
                <w:rFonts w:hint="default" w:cs="宋体" w:asciiTheme="minorEastAsia" w:hAnsiTheme="minorEastAsia" w:eastAsiaTheme="minorEastAsia"/>
                <w:color w:val="auto"/>
                <w:sz w:val="21"/>
                <w:szCs w:val="21"/>
                <w:lang w:val="en-US" w:eastAsia="zh-CN"/>
              </w:rPr>
            </w:pPr>
            <w:r>
              <w:rPr>
                <w:rFonts w:hint="eastAsia" w:ascii="宋体" w:hAnsi="宋体" w:cs="宋体"/>
                <w:color w:val="auto"/>
                <w:sz w:val="21"/>
                <w:szCs w:val="21"/>
              </w:rPr>
              <w:t>风险机遇识别基本充分，应对风险和机遇的措施基本适宜。</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措施的策划</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E</w:t>
            </w:r>
            <w:r>
              <w:rPr>
                <w:rFonts w:hint="eastAsia" w:cs="宋体" w:asciiTheme="minorEastAsia" w:hAnsiTheme="minorEastAsia" w:eastAsiaTheme="minorEastAsia"/>
                <w:color w:val="auto"/>
                <w:sz w:val="21"/>
                <w:szCs w:val="21"/>
                <w:lang w:val="en-US" w:eastAsia="zh-CN"/>
              </w:rPr>
              <w:t>S6</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1.4</w:t>
            </w:r>
          </w:p>
          <w:p>
            <w:pPr>
              <w:spacing w:line="360" w:lineRule="auto"/>
              <w:rPr>
                <w:rFonts w:hint="eastAsia"/>
                <w:sz w:val="21"/>
                <w:szCs w:val="21"/>
                <w:lang w:val="en-US" w:eastAsia="zh-CN"/>
              </w:rPr>
            </w:pPr>
          </w:p>
        </w:tc>
        <w:tc>
          <w:tcPr>
            <w:tcW w:w="10004" w:type="dxa"/>
          </w:tcPr>
          <w:p>
            <w:pPr>
              <w:pStyle w:val="2"/>
              <w:spacing w:line="360" w:lineRule="auto"/>
              <w:ind w:firstLine="460" w:firstLineChars="200"/>
              <w:rPr>
                <w:rFonts w:hint="eastAsia" w:ascii="宋体" w:hAnsi="宋体" w:cs="宋体"/>
                <w:color w:val="auto"/>
                <w:sz w:val="21"/>
                <w:szCs w:val="21"/>
              </w:rPr>
            </w:pPr>
            <w:r>
              <w:rPr>
                <w:rFonts w:hint="eastAsia" w:cs="宋体" w:asciiTheme="minorEastAsia" w:hAnsiTheme="minorEastAsia" w:eastAsiaTheme="minorEastAsia"/>
                <w:color w:val="auto"/>
                <w:kern w:val="0"/>
                <w:sz w:val="21"/>
                <w:szCs w:val="21"/>
              </w:rPr>
              <w:t>在策划</w:t>
            </w:r>
            <w:r>
              <w:rPr>
                <w:rFonts w:hint="eastAsia" w:cs="宋体" w:asciiTheme="minorEastAsia" w:hAnsiTheme="minorEastAsia" w:eastAsiaTheme="minorEastAsia"/>
                <w:color w:val="auto"/>
                <w:sz w:val="21"/>
                <w:szCs w:val="21"/>
              </w:rPr>
              <w:t>应对风险和机遇</w:t>
            </w:r>
            <w:r>
              <w:rPr>
                <w:rFonts w:hint="eastAsia" w:cs="宋体" w:asciiTheme="minorEastAsia" w:hAnsiTheme="minorEastAsia" w:eastAsiaTheme="minorEastAsia"/>
                <w:color w:val="auto"/>
                <w:kern w:val="0"/>
                <w:sz w:val="21"/>
                <w:szCs w:val="21"/>
              </w:rPr>
              <w:t>的措施时，</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综合考虑了企业所处的环境、重要环境因素、合规义务，以及面对的风险和机遇，制定了环境、职业健康安全目标及管理方案，总经理</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对方案实施情况进行检查跟踪，向总经理报告；在管理评审之前对环境、职业健康安全目标及管理方案由</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对其进行评审，并将完成情况以书面形式呈报管理者代表，以便提交管理评审。</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管理目标及其实现的策划</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QEO6.2</w:t>
            </w:r>
          </w:p>
          <w:p>
            <w:pPr>
              <w:spacing w:line="360" w:lineRule="auto"/>
              <w:rPr>
                <w:rFonts w:hint="eastAsia"/>
                <w:sz w:val="21"/>
                <w:szCs w:val="21"/>
                <w:lang w:val="en-US" w:eastAsia="zh-CN"/>
              </w:rPr>
            </w:pPr>
          </w:p>
        </w:tc>
        <w:tc>
          <w:tcPr>
            <w:tcW w:w="10004" w:type="dxa"/>
          </w:tcPr>
          <w:p>
            <w:pPr>
              <w:spacing w:line="360" w:lineRule="auto"/>
              <w:ind w:firstLine="420" w:firstLineChars="200"/>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公司对管理体系所需的相关职能、层次和过程设定管理目标。</w:t>
            </w:r>
            <w:r>
              <w:rPr>
                <w:rFonts w:hint="eastAsia" w:cs="宋体" w:asciiTheme="minorEastAsia" w:hAnsiTheme="minorEastAsia" w:eastAsiaTheme="minorEastAsia"/>
                <w:color w:val="auto"/>
                <w:kern w:val="0"/>
                <w:sz w:val="21"/>
                <w:szCs w:val="21"/>
                <w:lang w:val="en-US" w:eastAsia="zh-CN"/>
              </w:rPr>
              <w:t>提供有“目标、指标、绩效完成情况统计表”，内容如下：</w:t>
            </w:r>
          </w:p>
          <w:tbl>
            <w:tblPr>
              <w:tblStyle w:val="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517"/>
              <w:gridCol w:w="1254"/>
              <w:gridCol w:w="174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restart"/>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部  门</w:t>
                  </w:r>
                </w:p>
              </w:tc>
              <w:tc>
                <w:tcPr>
                  <w:tcW w:w="4517" w:type="dxa"/>
                  <w:vMerge w:val="restart"/>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质量、环境、职业健康安全目标</w:t>
                  </w:r>
                </w:p>
              </w:tc>
              <w:tc>
                <w:tcPr>
                  <w:tcW w:w="3995" w:type="dxa"/>
                  <w:gridSpan w:val="3"/>
                  <w:noWrap w:val="0"/>
                  <w:vAlign w:val="center"/>
                </w:tcPr>
                <w:p>
                  <w:pPr>
                    <w:spacing w:line="360" w:lineRule="auto"/>
                    <w:jc w:val="center"/>
                    <w:rPr>
                      <w:rFonts w:hint="eastAsia" w:ascii="宋体" w:hAnsi="宋体"/>
                      <w:sz w:val="21"/>
                      <w:szCs w:val="21"/>
                    </w:rPr>
                  </w:pPr>
                  <w:r>
                    <w:rPr>
                      <w:rFonts w:hint="eastAsia" w:ascii="宋体" w:hAnsi="宋体"/>
                      <w:sz w:val="21"/>
                      <w:szCs w:val="21"/>
                    </w:rPr>
                    <w:t>考核（20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z w:val="21"/>
                      <w:szCs w:val="21"/>
                      <w:lang w:val="en-US" w:eastAsia="zh-CN"/>
                    </w:rPr>
                    <w:t>9</w:t>
                  </w:r>
                  <w:r>
                    <w:rPr>
                      <w:rFonts w:hint="eastAsia" w:ascii="宋体" w:hAnsi="宋体"/>
                      <w:sz w:val="21"/>
                      <w:szCs w:val="21"/>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continue"/>
                  <w:noWrap w:val="0"/>
                  <w:vAlign w:val="center"/>
                </w:tcPr>
                <w:p>
                  <w:pPr>
                    <w:spacing w:line="360" w:lineRule="auto"/>
                    <w:jc w:val="center"/>
                    <w:rPr>
                      <w:rFonts w:hint="eastAsia" w:ascii="宋体" w:hAnsi="宋体"/>
                      <w:b/>
                      <w:color w:val="000000"/>
                      <w:sz w:val="21"/>
                      <w:szCs w:val="21"/>
                    </w:rPr>
                  </w:pPr>
                </w:p>
              </w:tc>
              <w:tc>
                <w:tcPr>
                  <w:tcW w:w="4517" w:type="dxa"/>
                  <w:vMerge w:val="continue"/>
                  <w:noWrap w:val="0"/>
                  <w:vAlign w:val="center"/>
                </w:tcPr>
                <w:p>
                  <w:pPr>
                    <w:spacing w:line="360" w:lineRule="auto"/>
                    <w:ind w:firstLine="480"/>
                    <w:jc w:val="center"/>
                    <w:rPr>
                      <w:rFonts w:hint="eastAsia" w:ascii="宋体" w:hAnsi="宋体"/>
                      <w:b/>
                      <w:color w:val="000000"/>
                      <w:sz w:val="21"/>
                      <w:szCs w:val="21"/>
                    </w:rPr>
                  </w:pPr>
                </w:p>
              </w:tc>
              <w:tc>
                <w:tcPr>
                  <w:tcW w:w="1254" w:type="dxa"/>
                  <w:noWrap w:val="0"/>
                  <w:vAlign w:val="center"/>
                </w:tcPr>
                <w:p>
                  <w:pPr>
                    <w:spacing w:line="360" w:lineRule="auto"/>
                    <w:jc w:val="center"/>
                    <w:rPr>
                      <w:rFonts w:hint="eastAsia" w:ascii="宋体" w:hAnsi="宋体"/>
                      <w:sz w:val="21"/>
                      <w:szCs w:val="21"/>
                    </w:rPr>
                  </w:pPr>
                  <w:r>
                    <w:rPr>
                      <w:rFonts w:hint="eastAsia" w:ascii="宋体" w:hAnsi="宋体"/>
                      <w:sz w:val="21"/>
                      <w:szCs w:val="21"/>
                    </w:rPr>
                    <w:t>考核情况</w:t>
                  </w:r>
                </w:p>
              </w:tc>
              <w:tc>
                <w:tcPr>
                  <w:tcW w:w="1744" w:type="dxa"/>
                  <w:noWrap w:val="0"/>
                  <w:vAlign w:val="center"/>
                </w:tcPr>
                <w:p>
                  <w:pPr>
                    <w:spacing w:line="360" w:lineRule="auto"/>
                    <w:jc w:val="center"/>
                    <w:rPr>
                      <w:rFonts w:hint="eastAsia" w:ascii="宋体" w:hAnsi="宋体"/>
                      <w:color w:val="000000"/>
                      <w:sz w:val="21"/>
                      <w:szCs w:val="21"/>
                    </w:rPr>
                  </w:pPr>
                  <w:r>
                    <w:rPr>
                      <w:rFonts w:hint="eastAsia" w:ascii="宋体" w:hAnsi="宋体"/>
                      <w:sz w:val="21"/>
                      <w:szCs w:val="21"/>
                    </w:rPr>
                    <w:t>考核时间</w:t>
                  </w:r>
                </w:p>
              </w:tc>
              <w:tc>
                <w:tcPr>
                  <w:tcW w:w="997" w:type="dxa"/>
                  <w:noWrap w:val="0"/>
                  <w:vAlign w:val="center"/>
                </w:tcPr>
                <w:p>
                  <w:pPr>
                    <w:spacing w:line="360" w:lineRule="auto"/>
                    <w:jc w:val="center"/>
                    <w:rPr>
                      <w:rFonts w:hint="eastAsia" w:ascii="宋体" w:hAnsi="宋体"/>
                      <w:color w:val="000000"/>
                      <w:sz w:val="21"/>
                      <w:szCs w:val="21"/>
                    </w:rPr>
                  </w:pPr>
                  <w:r>
                    <w:rPr>
                      <w:rFonts w:hint="eastAsia" w:ascii="宋体" w:hAnsi="宋体"/>
                      <w:sz w:val="21"/>
                      <w:szCs w:val="21"/>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restart"/>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公司</w:t>
                  </w: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1、顾客满意度≥95%以上</w:t>
                  </w:r>
                </w:p>
              </w:tc>
              <w:tc>
                <w:tcPr>
                  <w:tcW w:w="1254" w:type="dxa"/>
                  <w:noWrap w:val="0"/>
                  <w:vAlign w:val="center"/>
                </w:tcPr>
                <w:p>
                  <w:pPr>
                    <w:spacing w:line="360" w:lineRule="auto"/>
                    <w:jc w:val="center"/>
                    <w:rPr>
                      <w:rFonts w:hint="eastAsia" w:ascii="宋体" w:hAnsi="宋体"/>
                      <w:sz w:val="21"/>
                      <w:szCs w:val="21"/>
                    </w:rPr>
                  </w:pPr>
                  <w:r>
                    <w:rPr>
                      <w:rFonts w:hint="eastAsia" w:ascii="宋体" w:hAnsi="宋体"/>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2、产品一次交验合格率 ≥100%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3、产品质量合格率≥100%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4、合同履约率≥100%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5、设备完好率95%</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lang w:val="en-US" w:eastAsia="zh-CN"/>
                    </w:rPr>
                    <w:t>96</w:t>
                  </w:r>
                  <w:r>
                    <w:rPr>
                      <w:rFonts w:hint="eastAsia" w:ascii="宋体" w:hAnsi="宋体"/>
                      <w:color w:val="000000"/>
                      <w:sz w:val="21"/>
                      <w:szCs w:val="21"/>
                    </w:rPr>
                    <w:t>%</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5、噪声、粉尘零排放</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lang w:eastAsia="zh-CN"/>
                    </w:rPr>
                    <w:t>达标</w:t>
                  </w:r>
                  <w:r>
                    <w:rPr>
                      <w:rFonts w:hint="eastAsia" w:ascii="宋体" w:hAnsi="宋体"/>
                      <w:color w:val="000000"/>
                      <w:sz w:val="21"/>
                      <w:szCs w:val="21"/>
                    </w:rPr>
                    <w:t>排放</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6、劳保防护用品发放率100%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r>
                    <w:rPr>
                      <w:rFonts w:ascii="宋体" w:hAnsi="宋体"/>
                      <w:color w:val="000000"/>
                      <w:sz w:val="21"/>
                      <w:szCs w:val="21"/>
                    </w:rPr>
                    <w:t xml:space="preserve"> </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7、职业病发生率控制在零</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8、重大质量事故和安全事故为零</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2021.9.30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bl>
          <w:p>
            <w:pPr>
              <w:pStyle w:val="2"/>
              <w:spacing w:line="360" w:lineRule="auto"/>
              <w:rPr>
                <w:rFonts w:hint="eastAsia" w:cs="宋体" w:asciiTheme="minorEastAsia" w:hAnsiTheme="minorEastAsia" w:eastAsiaTheme="minorEastAsia"/>
                <w:color w:val="auto"/>
                <w:kern w:val="0"/>
                <w:sz w:val="21"/>
                <w:szCs w:val="21"/>
              </w:rPr>
            </w:pPr>
          </w:p>
          <w:p>
            <w:pPr>
              <w:spacing w:line="360" w:lineRule="auto"/>
              <w:ind w:firstLine="420" w:firstLineChars="200"/>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目标可测量，与公司QEO管理方针一致。</w:t>
            </w:r>
          </w:p>
          <w:p>
            <w:pPr>
              <w:pStyle w:val="2"/>
              <w:spacing w:line="360" w:lineRule="auto"/>
              <w:ind w:firstLine="460" w:firstLineChars="200"/>
              <w:rPr>
                <w:rFonts w:hint="default" w:eastAsiaTheme="minorEastAsia"/>
                <w:sz w:val="21"/>
                <w:szCs w:val="21"/>
                <w:lang w:val="en-US" w:eastAsia="zh-CN"/>
              </w:rPr>
            </w:pPr>
            <w:r>
              <w:rPr>
                <w:rFonts w:hint="eastAsia" w:cs="宋体" w:asciiTheme="minorEastAsia" w:hAnsiTheme="minorEastAsia" w:eastAsiaTheme="minorEastAsia"/>
                <w:color w:val="auto"/>
                <w:kern w:val="0"/>
                <w:sz w:val="21"/>
                <w:szCs w:val="21"/>
                <w:lang w:val="en-US" w:eastAsia="zh-CN"/>
              </w:rPr>
              <w:t>截止Q3，目标已达成</w:t>
            </w:r>
          </w:p>
          <w:p>
            <w:pPr>
              <w:pStyle w:val="2"/>
              <w:spacing w:line="360" w:lineRule="auto"/>
              <w:ind w:firstLine="460" w:firstLineChars="200"/>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针对重要环境因素、不可接受风险制订了管理方案并予以实施，基本有效，各部门目标考核详见</w:t>
            </w:r>
            <w:r>
              <w:rPr>
                <w:rFonts w:hint="eastAsia" w:cs="宋体" w:asciiTheme="minorEastAsia" w:hAnsiTheme="minorEastAsia" w:eastAsiaTheme="minorEastAsia"/>
                <w:color w:val="auto"/>
                <w:kern w:val="0"/>
                <w:sz w:val="21"/>
                <w:szCs w:val="21"/>
                <w:lang w:val="en-US" w:eastAsia="zh-CN"/>
              </w:rPr>
              <w:t>各</w:t>
            </w:r>
            <w:r>
              <w:rPr>
                <w:rFonts w:hint="eastAsia" w:cs="宋体" w:asciiTheme="minorEastAsia" w:hAnsiTheme="minorEastAsia" w:eastAsiaTheme="minorEastAsia"/>
                <w:color w:val="auto"/>
                <w:kern w:val="0"/>
                <w:sz w:val="21"/>
                <w:szCs w:val="21"/>
                <w:lang w:eastAsia="zh-CN"/>
              </w:rPr>
              <w:t>部</w:t>
            </w:r>
            <w:r>
              <w:rPr>
                <w:rFonts w:hint="eastAsia" w:cs="宋体" w:asciiTheme="minorEastAsia" w:hAnsiTheme="minorEastAsia" w:eastAsiaTheme="minorEastAsia"/>
                <w:color w:val="auto"/>
                <w:kern w:val="0"/>
                <w:sz w:val="21"/>
                <w:szCs w:val="21"/>
                <w:lang w:val="en-US" w:eastAsia="zh-CN"/>
              </w:rPr>
              <w:t>门</w:t>
            </w:r>
            <w:r>
              <w:rPr>
                <w:rFonts w:hint="eastAsia" w:cs="宋体" w:asciiTheme="minorEastAsia" w:hAnsiTheme="minorEastAsia" w:eastAsiaTheme="minorEastAsia"/>
                <w:color w:val="auto"/>
                <w:kern w:val="0"/>
                <w:sz w:val="21"/>
                <w:szCs w:val="21"/>
              </w:rPr>
              <w:t>该条款审核记录。</w:t>
            </w:r>
            <w:bookmarkStart w:id="4" w:name="_GoBack"/>
            <w:bookmarkEnd w:id="4"/>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变更的策划</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Q6.3</w:t>
            </w:r>
          </w:p>
          <w:p>
            <w:pPr>
              <w:spacing w:line="360" w:lineRule="auto"/>
              <w:rPr>
                <w:rFonts w:hint="eastAsia"/>
                <w:sz w:val="21"/>
                <w:szCs w:val="21"/>
                <w:lang w:val="en-US" w:eastAsia="zh-CN"/>
              </w:rPr>
            </w:pPr>
          </w:p>
        </w:tc>
        <w:tc>
          <w:tcPr>
            <w:tcW w:w="10004" w:type="dxa"/>
          </w:tcPr>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公司以前的车辆维修为外包，今年变更为公司生产部自己管理。——具体见生产部检查表。</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widowControl/>
              <w:suppressLineNumbers w:val="0"/>
              <w:spacing w:line="360" w:lineRule="auto"/>
              <w:jc w:val="left"/>
              <w:rPr>
                <w:rFonts w:hint="default"/>
                <w:sz w:val="21"/>
                <w:szCs w:val="21"/>
                <w:lang w:val="en-US"/>
              </w:rPr>
            </w:pPr>
            <w:r>
              <w:rPr>
                <w:rFonts w:ascii="黑体" w:hAnsi="宋体" w:eastAsia="黑体" w:cs="黑体"/>
                <w:color w:val="000000"/>
                <w:kern w:val="0"/>
                <w:sz w:val="21"/>
                <w:szCs w:val="21"/>
                <w:lang w:val="en-US" w:eastAsia="zh-CN" w:bidi="ar"/>
              </w:rPr>
              <w:t>运行策划和控制</w:t>
            </w:r>
            <w:r>
              <w:rPr>
                <w:rFonts w:hint="eastAsia" w:ascii="黑体" w:hAnsi="宋体" w:eastAsia="黑体" w:cs="黑体"/>
                <w:color w:val="000000"/>
                <w:kern w:val="0"/>
                <w:sz w:val="21"/>
                <w:szCs w:val="21"/>
                <w:lang w:val="en-US" w:eastAsia="zh-CN" w:bidi="ar"/>
              </w:rPr>
              <w:t>总则</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sz w:val="21"/>
                <w:szCs w:val="21"/>
                <w:lang w:val="en-US" w:eastAsia="zh-CN"/>
              </w:rPr>
            </w:pPr>
            <w:r>
              <w:rPr>
                <w:rFonts w:hint="eastAsia"/>
                <w:sz w:val="21"/>
                <w:szCs w:val="21"/>
                <w:lang w:val="en-US" w:eastAsia="zh-CN"/>
              </w:rPr>
              <w:t>S8.1.1</w:t>
            </w:r>
          </w:p>
        </w:tc>
        <w:tc>
          <w:tcPr>
            <w:tcW w:w="10004" w:type="dxa"/>
          </w:tcPr>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策划有“危险源识别与风险评价控制程序”、“法律与其它要求控制程序”，建立了过程准则，综合部和生产部为主控部门。</w:t>
            </w:r>
          </w:p>
          <w:p>
            <w:pPr>
              <w:pStyle w:val="2"/>
              <w:spacing w:line="360" w:lineRule="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提供有安全管理制度、安全员职责等管理文件，危险源辨识清单、不可接受风险辨识清单、职业健康安全目标及管理方案，设备安全维修保养记录、厂界噪声扬尘定期检测记录、废水费奖利用记录、等作业文件及记录表格。综合部负责人员安全方面内容的培训宣贯，生产部负责设备保养、作业现场的检查。——具体相关职能部门的8.1条款检查记录。</w:t>
            </w:r>
          </w:p>
          <w:p>
            <w:pPr>
              <w:pStyle w:val="2"/>
              <w:spacing w:line="360" w:lineRule="auto"/>
              <w:rPr>
                <w:rFonts w:hint="default" w:cs="宋体" w:asciiTheme="minorEastAsia" w:hAnsiTheme="minorEastAsia" w:eastAsiaTheme="minorEastAsia"/>
                <w:color w:val="auto"/>
                <w:kern w:val="0"/>
                <w:sz w:val="21"/>
                <w:szCs w:val="21"/>
                <w:lang w:val="en-US" w:eastAsia="zh-CN"/>
              </w:rPr>
            </w:pP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应急准备和响应</w:t>
            </w:r>
          </w:p>
        </w:tc>
        <w:tc>
          <w:tcPr>
            <w:tcW w:w="960" w:type="dxa"/>
          </w:tcPr>
          <w:p>
            <w:pPr>
              <w:spacing w:line="360" w:lineRule="auto"/>
              <w:rPr>
                <w:rFonts w:hint="default"/>
                <w:sz w:val="21"/>
                <w:szCs w:val="21"/>
                <w:lang w:val="en-US" w:eastAsia="zh-CN"/>
              </w:rPr>
            </w:pPr>
            <w:r>
              <w:rPr>
                <w:rFonts w:hint="eastAsia"/>
                <w:sz w:val="21"/>
                <w:szCs w:val="21"/>
                <w:lang w:val="en-US" w:eastAsia="zh-CN"/>
              </w:rPr>
              <w:t>S8.2</w:t>
            </w:r>
          </w:p>
        </w:tc>
        <w:tc>
          <w:tcPr>
            <w:tcW w:w="10004" w:type="dxa"/>
          </w:tcPr>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策划有“应急准备和响应控制程序”，“消防管理制度”、“安全管理制度”。</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制订有火灾和触电应急预案及演练记录。</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查2021.4.8.日由生产部组织，各部门负责人和代表参与的消防演习报告，内容基本符合要求，有演习效果评价。</w:t>
            </w:r>
          </w:p>
          <w:p>
            <w:pPr>
              <w:pStyle w:val="2"/>
              <w:spacing w:line="360" w:lineRule="auto"/>
              <w:rPr>
                <w:rFonts w:hint="eastAsia" w:cs="宋体" w:asciiTheme="minorEastAsia" w:hAnsiTheme="minorEastAsia" w:eastAsiaTheme="minorEastAsia"/>
                <w:color w:val="auto"/>
                <w:kern w:val="0"/>
                <w:sz w:val="21"/>
                <w:szCs w:val="21"/>
                <w:lang w:val="en-US" w:eastAsia="zh-CN"/>
              </w:rPr>
            </w:pPr>
            <w:r>
              <w:rPr>
                <w:sz w:val="21"/>
                <w:szCs w:val="21"/>
              </w:rPr>
              <w:drawing>
                <wp:inline distT="0" distB="0" distL="114300" distR="114300">
                  <wp:extent cx="5707380" cy="40462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07380" cy="4046220"/>
                          </a:xfrm>
                          <a:prstGeom prst="rect">
                            <a:avLst/>
                          </a:prstGeom>
                          <a:noFill/>
                          <a:ln>
                            <a:noFill/>
                          </a:ln>
                        </pic:spPr>
                      </pic:pic>
                    </a:graphicData>
                  </a:graphic>
                </wp:inline>
              </w:drawing>
            </w:r>
          </w:p>
          <w:p>
            <w:pPr>
              <w:pStyle w:val="2"/>
              <w:spacing w:line="360" w:lineRule="auto"/>
              <w:rPr>
                <w:rFonts w:hint="eastAsia" w:cs="宋体" w:asciiTheme="minorEastAsia" w:hAnsiTheme="minorEastAsia" w:eastAsiaTheme="minorEastAsia"/>
                <w:color w:val="auto"/>
                <w:kern w:val="0"/>
                <w:sz w:val="21"/>
                <w:szCs w:val="21"/>
                <w:lang w:val="en-US" w:eastAsia="zh-CN"/>
              </w:rPr>
            </w:pPr>
          </w:p>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ascii="Times New Roman" w:hAnsi="Times New Roman"/>
                <w:sz w:val="21"/>
                <w:szCs w:val="21"/>
              </w:rPr>
              <w:t>——</w:t>
            </w:r>
            <w:r>
              <w:rPr>
                <w:rFonts w:hint="eastAsia"/>
                <w:sz w:val="21"/>
                <w:szCs w:val="21"/>
                <w:lang w:val="en-US" w:eastAsia="zh-CN"/>
              </w:rPr>
              <w:t>基本</w:t>
            </w:r>
            <w:r>
              <w:rPr>
                <w:rFonts w:hint="eastAsia" w:ascii="Times New Roman" w:hAnsi="Times New Roman"/>
                <w:sz w:val="21"/>
                <w:szCs w:val="21"/>
              </w:rPr>
              <w:t>符合标准要求。</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管理评审</w:t>
            </w:r>
          </w:p>
        </w:tc>
        <w:tc>
          <w:tcPr>
            <w:tcW w:w="960" w:type="dxa"/>
          </w:tcPr>
          <w:p>
            <w:pPr>
              <w:spacing w:line="360" w:lineRule="auto"/>
              <w:rPr>
                <w:rFonts w:hint="default"/>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S9.3</w:t>
            </w:r>
          </w:p>
        </w:tc>
        <w:tc>
          <w:tcPr>
            <w:tcW w:w="10004" w:type="dxa"/>
          </w:tcPr>
          <w:p>
            <w:pPr>
              <w:pStyle w:val="16"/>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策划有《</w:t>
            </w:r>
            <w:r>
              <w:rPr>
                <w:rFonts w:hint="eastAsia" w:ascii="宋体" w:hAnsi="宋体"/>
                <w:color w:val="auto"/>
                <w:sz w:val="21"/>
                <w:szCs w:val="21"/>
                <w:highlight w:val="none"/>
              </w:rPr>
              <w:t>管理评审控制程序</w:t>
            </w:r>
            <w:r>
              <w:rPr>
                <w:rFonts w:hint="eastAsia" w:ascii="宋体" w:hAnsi="宋体"/>
                <w:color w:val="auto"/>
                <w:sz w:val="21"/>
                <w:szCs w:val="21"/>
                <w:highlight w:val="none"/>
                <w:lang w:eastAsia="zh-CN"/>
              </w:rPr>
              <w:t>》。</w:t>
            </w:r>
          </w:p>
          <w:p>
            <w:pPr>
              <w:pStyle w:val="16"/>
              <w:spacing w:line="360" w:lineRule="auto"/>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公司在2</w:t>
            </w:r>
            <w:r>
              <w:rPr>
                <w:rFonts w:ascii="Times New Roman" w:hAnsi="Times New Roman"/>
                <w:sz w:val="21"/>
                <w:szCs w:val="21"/>
              </w:rPr>
              <w:t>021.</w:t>
            </w:r>
            <w:r>
              <w:rPr>
                <w:rFonts w:hint="eastAsia" w:ascii="Times New Roman" w:hAnsi="Times New Roman"/>
                <w:sz w:val="21"/>
                <w:szCs w:val="21"/>
                <w:lang w:val="en-US" w:eastAsia="zh-CN"/>
              </w:rPr>
              <w:t>12.1</w:t>
            </w:r>
            <w:r>
              <w:rPr>
                <w:rFonts w:ascii="Times New Roman" w:hAnsi="Times New Roman"/>
                <w:sz w:val="21"/>
                <w:szCs w:val="21"/>
              </w:rPr>
              <w:t>.</w:t>
            </w:r>
            <w:r>
              <w:rPr>
                <w:rFonts w:hint="eastAsia" w:ascii="Times New Roman" w:hAnsi="Times New Roman"/>
                <w:sz w:val="21"/>
                <w:szCs w:val="21"/>
              </w:rPr>
              <w:t>进行了管理评审活动</w:t>
            </w:r>
            <w:r>
              <w:rPr>
                <w:rFonts w:hint="eastAsia" w:ascii="Times New Roman" w:hAnsi="Times New Roman"/>
                <w:sz w:val="21"/>
                <w:szCs w:val="21"/>
                <w:lang w:val="en-US" w:eastAsia="zh-CN"/>
              </w:rPr>
              <w:t>，</w:t>
            </w:r>
            <w:r>
              <w:rPr>
                <w:rFonts w:hint="eastAsia" w:ascii="Times New Roman" w:hAnsi="Times New Roman"/>
                <w:sz w:val="21"/>
                <w:szCs w:val="21"/>
              </w:rPr>
              <w:t>管理评审策划和实施的时间、覆盖的范围、输入、输出</w:t>
            </w:r>
            <w:r>
              <w:rPr>
                <w:rFonts w:hint="eastAsia" w:ascii="Times New Roman" w:hAnsi="Times New Roman"/>
                <w:sz w:val="21"/>
                <w:szCs w:val="21"/>
                <w:lang w:eastAsia="zh-CN"/>
              </w:rPr>
              <w:t>、</w:t>
            </w:r>
            <w:r>
              <w:rPr>
                <w:rFonts w:hint="eastAsia" w:ascii="Times New Roman" w:hAnsi="Times New Roman"/>
                <w:sz w:val="21"/>
                <w:szCs w:val="21"/>
                <w:lang w:val="en-US" w:eastAsia="zh-CN"/>
              </w:rPr>
              <w:t>结论及改进措施，</w:t>
            </w:r>
            <w:r>
              <w:rPr>
                <w:rFonts w:hint="eastAsia" w:ascii="Times New Roman" w:hAnsi="Times New Roman"/>
                <w:sz w:val="21"/>
                <w:szCs w:val="21"/>
              </w:rPr>
              <w:t>均符合规定要求；</w:t>
            </w:r>
            <w:r>
              <w:rPr>
                <w:rFonts w:hint="eastAsia" w:ascii="Times New Roman" w:hAnsi="Times New Roman"/>
                <w:sz w:val="21"/>
                <w:szCs w:val="21"/>
                <w:lang w:val="en-US" w:eastAsia="zh-CN"/>
              </w:rPr>
              <w:t>提供有手写签到表。抽查内容如下：</w:t>
            </w:r>
          </w:p>
          <w:p>
            <w:pPr>
              <w:spacing w:line="360" w:lineRule="auto"/>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rPr>
              <w:t>1、评审输入：</w:t>
            </w:r>
            <w:r>
              <w:rPr>
                <w:rFonts w:hint="eastAsia" w:asciiTheme="minorEastAsia" w:hAnsiTheme="minorEastAsia" w:eastAsiaTheme="minorEastAsia"/>
                <w:bCs/>
                <w:sz w:val="21"/>
                <w:szCs w:val="21"/>
                <w:lang w:val="en-US" w:eastAsia="zh-CN"/>
              </w:rPr>
              <w:t>公司管理方针贯彻实施情况评审；管理体系的运行情况及产品质量状况的综合分析；顾客等相关方对公司质量管理反馈意见的综合评价；内审及各部门的报告。</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2、评审结论：</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公司管理体系符合GB/T19001-2016、GB/T24001-2016、GB/T45001-2020标准要求，体系文件基本实用，管理方针切实可行。</w:t>
            </w:r>
          </w:p>
          <w:p>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改进需求：</w:t>
            </w:r>
            <w:r>
              <w:rPr>
                <w:rFonts w:hint="eastAsia" w:asciiTheme="minorEastAsia" w:hAnsiTheme="minorEastAsia" w:eastAsiaTheme="minorEastAsia" w:cstheme="minorEastAsia"/>
                <w:color w:val="auto"/>
                <w:sz w:val="21"/>
                <w:szCs w:val="21"/>
                <w:lang w:val="en-US" w:eastAsia="zh-CN"/>
              </w:rPr>
              <w:t>1、市场环境和风险影响很大，要把握，分析市场环境和抗风险能力；2、做好售后服务的工作。</w:t>
            </w:r>
          </w:p>
          <w:p>
            <w:pPr>
              <w:pStyle w:val="2"/>
              <w:numPr>
                <w:ilvl w:val="0"/>
                <w:numId w:val="0"/>
              </w:numPr>
              <w:spacing w:line="360" w:lineRule="auto"/>
              <w:rPr>
                <w:rFonts w:hint="default"/>
                <w:sz w:val="21"/>
                <w:szCs w:val="21"/>
                <w:lang w:val="en-US" w:eastAsia="zh-CN"/>
              </w:rPr>
            </w:pPr>
            <w:r>
              <w:rPr>
                <w:rFonts w:hint="eastAsia"/>
                <w:sz w:val="21"/>
                <w:szCs w:val="21"/>
                <w:lang w:val="en-US" w:eastAsia="zh-CN"/>
              </w:rPr>
              <w:t>编制：周晨；审核：胡金龙；批准：王小兵。</w:t>
            </w:r>
          </w:p>
          <w:p>
            <w:pPr>
              <w:pStyle w:val="2"/>
              <w:spacing w:line="360" w:lineRule="auto"/>
              <w:rPr>
                <w:rFonts w:hint="eastAsia" w:ascii="Times New Roman" w:hAnsi="Times New Roman"/>
                <w:sz w:val="21"/>
                <w:szCs w:val="21"/>
              </w:rPr>
            </w:pPr>
            <w:r>
              <w:rPr>
                <w:rFonts w:hint="eastAsia" w:ascii="Times New Roman" w:hAnsi="Times New Roman"/>
                <w:sz w:val="21"/>
                <w:szCs w:val="21"/>
              </w:rPr>
              <w:t>——</w:t>
            </w:r>
            <w:r>
              <w:rPr>
                <w:rFonts w:hint="eastAsia"/>
                <w:sz w:val="21"/>
                <w:szCs w:val="21"/>
                <w:lang w:val="en-US" w:eastAsia="zh-CN"/>
              </w:rPr>
              <w:t>基本</w:t>
            </w:r>
            <w:r>
              <w:rPr>
                <w:rFonts w:hint="eastAsia" w:ascii="Times New Roman" w:hAnsi="Times New Roman"/>
                <w:sz w:val="21"/>
                <w:szCs w:val="21"/>
              </w:rPr>
              <w:t>符合标准要求。</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总则</w:t>
            </w:r>
          </w:p>
          <w:p>
            <w:pPr>
              <w:spacing w:line="360" w:lineRule="auto"/>
              <w:rPr>
                <w:rFonts w:hint="eastAsia" w:cs="宋体" w:asciiTheme="minorEastAsia" w:hAnsiTheme="minorEastAsia" w:eastAsiaTheme="minorEastAsia"/>
                <w:color w:val="auto"/>
                <w:sz w:val="21"/>
                <w:szCs w:val="21"/>
                <w:lang w:val="en-US" w:eastAsia="zh-CN"/>
              </w:rPr>
            </w:pPr>
          </w:p>
        </w:tc>
        <w:tc>
          <w:tcPr>
            <w:tcW w:w="960" w:type="dxa"/>
          </w:tcPr>
          <w:p>
            <w:pPr>
              <w:spacing w:line="360" w:lineRule="auto"/>
              <w:rPr>
                <w:rFonts w:hint="default"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S10.1</w:t>
            </w:r>
          </w:p>
        </w:tc>
        <w:tc>
          <w:tcPr>
            <w:tcW w:w="10004" w:type="dxa"/>
          </w:tcPr>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1、在公司及部门层面全面实施目标考核机制，针对周期性目标考核结果进行改进实施。</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2、针对年度内审发现的不符合项实施了原因分析制定纠正措施并跟踪整改验证；针对年度管理评审和公司重大会议等活动信息进行综合分析评价，形成必要的改进决策。</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3、在日常业务运行中，组织各部门收集、统计贯标记录及质量、环境、职业健康安全相关记录信息，运用统计技术进行数据分析，寻找改进机会。</w:t>
            </w:r>
          </w:p>
          <w:p>
            <w:pPr>
              <w:pStyle w:val="2"/>
              <w:spacing w:line="360" w:lineRule="auto"/>
              <w:rPr>
                <w:rFonts w:hint="eastAsia" w:ascii="Times New Roman" w:hAnsi="Times New Roman" w:eastAsia="宋体"/>
                <w:sz w:val="21"/>
                <w:szCs w:val="21"/>
                <w:lang w:eastAsia="zh-CN"/>
              </w:rPr>
            </w:pPr>
            <w:r>
              <w:rPr>
                <w:rFonts w:hint="eastAsia" w:ascii="Times New Roman" w:hAnsi="Times New Roman"/>
                <w:sz w:val="21"/>
                <w:szCs w:val="21"/>
              </w:rPr>
              <w:t>——上述这些均在相应的过程审核中提供有实施证据，证实了该组织改进机制的</w:t>
            </w:r>
            <w:r>
              <w:rPr>
                <w:rFonts w:hint="eastAsia"/>
                <w:sz w:val="21"/>
                <w:szCs w:val="21"/>
                <w:lang w:val="en-US" w:eastAsia="zh-CN"/>
              </w:rPr>
              <w:t>运行</w:t>
            </w:r>
            <w:r>
              <w:rPr>
                <w:rFonts w:hint="eastAsia" w:ascii="Times New Roman" w:hAnsi="Times New Roman"/>
                <w:sz w:val="21"/>
                <w:szCs w:val="21"/>
              </w:rPr>
              <w:t>基本有效</w:t>
            </w:r>
            <w:r>
              <w:rPr>
                <w:rFonts w:hint="eastAsia"/>
                <w:sz w:val="21"/>
                <w:szCs w:val="21"/>
                <w:lang w:eastAsia="zh-CN"/>
              </w:rPr>
              <w:t>。</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持续改进</w:t>
            </w:r>
          </w:p>
        </w:tc>
        <w:tc>
          <w:tcPr>
            <w:tcW w:w="960" w:type="dxa"/>
          </w:tcPr>
          <w:p>
            <w:pPr>
              <w:spacing w:line="360" w:lineRule="auto"/>
              <w:rPr>
                <w:rFonts w:hint="default"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S10.3</w:t>
            </w:r>
          </w:p>
        </w:tc>
        <w:tc>
          <w:tcPr>
            <w:tcW w:w="10004" w:type="dxa"/>
          </w:tcPr>
          <w:p>
            <w:pPr>
              <w:spacing w:line="360" w:lineRule="auto"/>
              <w:ind w:firstLine="420" w:firstLineChars="200"/>
              <w:rPr>
                <w:rFonts w:hint="eastAsia"/>
                <w:sz w:val="21"/>
                <w:szCs w:val="21"/>
              </w:rPr>
            </w:pPr>
            <w:r>
              <w:rPr>
                <w:rFonts w:hint="eastAsia"/>
                <w:sz w:val="21"/>
                <w:szCs w:val="21"/>
              </w:rPr>
              <w:t>总经理</w:t>
            </w:r>
            <w:r>
              <w:rPr>
                <w:rFonts w:hint="eastAsia"/>
                <w:sz w:val="21"/>
                <w:szCs w:val="21"/>
                <w:lang w:val="en-US" w:eastAsia="zh-CN"/>
              </w:rPr>
              <w:t>介绍，</w:t>
            </w:r>
            <w:r>
              <w:rPr>
                <w:rFonts w:hint="eastAsia"/>
                <w:sz w:val="21"/>
                <w:szCs w:val="21"/>
              </w:rPr>
              <w:t>通过考虑管理评审的分析、评价的结果，以及管理评审的输出，确定是否存在持续改进的需求或机会，促进质量、环境和职业健康安全管理体系的持续改进。</w:t>
            </w:r>
          </w:p>
          <w:p>
            <w:pPr>
              <w:pStyle w:val="2"/>
              <w:spacing w:line="360" w:lineRule="auto"/>
              <w:rPr>
                <w:rFonts w:hint="eastAsia" w:ascii="宋体" w:hAnsi="宋体" w:eastAsia="宋体" w:cs="宋体"/>
                <w:color w:val="auto"/>
                <w:sz w:val="21"/>
                <w:szCs w:val="21"/>
              </w:rPr>
            </w:pPr>
          </w:p>
          <w:p>
            <w:pPr>
              <w:pStyle w:val="2"/>
              <w:spacing w:line="360" w:lineRule="auto"/>
              <w:rPr>
                <w:rFonts w:hint="eastAsia" w:ascii="Times New Roman" w:hAnsi="Times New Roman"/>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0148D"/>
    <w:multiLevelType w:val="multilevel"/>
    <w:tmpl w:val="05E0148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3E84C9A7"/>
    <w:multiLevelType w:val="singleLevel"/>
    <w:tmpl w:val="3E84C9A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3F113F"/>
    <w:rsid w:val="01B6221C"/>
    <w:rsid w:val="01C55767"/>
    <w:rsid w:val="02315F85"/>
    <w:rsid w:val="029307AF"/>
    <w:rsid w:val="02D23086"/>
    <w:rsid w:val="04ED3EDF"/>
    <w:rsid w:val="04F6755D"/>
    <w:rsid w:val="05665D07"/>
    <w:rsid w:val="05B66323"/>
    <w:rsid w:val="06617B2E"/>
    <w:rsid w:val="06836D04"/>
    <w:rsid w:val="070B3A20"/>
    <w:rsid w:val="084C5159"/>
    <w:rsid w:val="08941AA5"/>
    <w:rsid w:val="0A0F6D33"/>
    <w:rsid w:val="0A2F1758"/>
    <w:rsid w:val="0BC44020"/>
    <w:rsid w:val="0D7D7149"/>
    <w:rsid w:val="0D9F44AC"/>
    <w:rsid w:val="0DED6FC6"/>
    <w:rsid w:val="0E916EF4"/>
    <w:rsid w:val="0FDF308D"/>
    <w:rsid w:val="0FF94348"/>
    <w:rsid w:val="112B4639"/>
    <w:rsid w:val="12723F3D"/>
    <w:rsid w:val="12DB3F70"/>
    <w:rsid w:val="12F665BF"/>
    <w:rsid w:val="13F13AA5"/>
    <w:rsid w:val="14C03686"/>
    <w:rsid w:val="161B48EC"/>
    <w:rsid w:val="168029F3"/>
    <w:rsid w:val="1786766E"/>
    <w:rsid w:val="17F673BF"/>
    <w:rsid w:val="18A961DF"/>
    <w:rsid w:val="18D3325C"/>
    <w:rsid w:val="19EA6AAF"/>
    <w:rsid w:val="1A3D3E6B"/>
    <w:rsid w:val="1AC34156"/>
    <w:rsid w:val="1B1D63FF"/>
    <w:rsid w:val="1B4A4FAF"/>
    <w:rsid w:val="1BB82E22"/>
    <w:rsid w:val="1BC46C05"/>
    <w:rsid w:val="1C393D1E"/>
    <w:rsid w:val="1CFD555E"/>
    <w:rsid w:val="1DEA3522"/>
    <w:rsid w:val="1E9B2A6E"/>
    <w:rsid w:val="1EA823E7"/>
    <w:rsid w:val="1EA9518B"/>
    <w:rsid w:val="1F901EA7"/>
    <w:rsid w:val="1FC41B50"/>
    <w:rsid w:val="20084133"/>
    <w:rsid w:val="202A22FB"/>
    <w:rsid w:val="2053475B"/>
    <w:rsid w:val="20AA51EA"/>
    <w:rsid w:val="21EA360D"/>
    <w:rsid w:val="22141537"/>
    <w:rsid w:val="231177A3"/>
    <w:rsid w:val="2487559B"/>
    <w:rsid w:val="25A16BB5"/>
    <w:rsid w:val="25D05644"/>
    <w:rsid w:val="25D31ACD"/>
    <w:rsid w:val="26147F1F"/>
    <w:rsid w:val="26303540"/>
    <w:rsid w:val="274E06A6"/>
    <w:rsid w:val="27F62BD8"/>
    <w:rsid w:val="28C64B8B"/>
    <w:rsid w:val="296C74E1"/>
    <w:rsid w:val="298D2D56"/>
    <w:rsid w:val="29916F47"/>
    <w:rsid w:val="299627B0"/>
    <w:rsid w:val="29B665AC"/>
    <w:rsid w:val="29BA649E"/>
    <w:rsid w:val="2CA927FA"/>
    <w:rsid w:val="2CF47F19"/>
    <w:rsid w:val="2EBD4E53"/>
    <w:rsid w:val="2ED7551E"/>
    <w:rsid w:val="2F177EEF"/>
    <w:rsid w:val="303D5733"/>
    <w:rsid w:val="30E977FA"/>
    <w:rsid w:val="319E66A5"/>
    <w:rsid w:val="31B67A23"/>
    <w:rsid w:val="33676FBC"/>
    <w:rsid w:val="34094F65"/>
    <w:rsid w:val="34880F47"/>
    <w:rsid w:val="37B4794E"/>
    <w:rsid w:val="37F81D4F"/>
    <w:rsid w:val="38DF2CA6"/>
    <w:rsid w:val="38F77345"/>
    <w:rsid w:val="39266264"/>
    <w:rsid w:val="39693A3D"/>
    <w:rsid w:val="39BA1BA2"/>
    <w:rsid w:val="3A3E7B24"/>
    <w:rsid w:val="3AAB598F"/>
    <w:rsid w:val="3AB37CF6"/>
    <w:rsid w:val="3B143A26"/>
    <w:rsid w:val="3C1D466B"/>
    <w:rsid w:val="3CEC69EB"/>
    <w:rsid w:val="3D796682"/>
    <w:rsid w:val="3E5009CA"/>
    <w:rsid w:val="3E6D3687"/>
    <w:rsid w:val="3F2A1578"/>
    <w:rsid w:val="405D772B"/>
    <w:rsid w:val="40E25F22"/>
    <w:rsid w:val="4180161D"/>
    <w:rsid w:val="41CF6407"/>
    <w:rsid w:val="41E57A67"/>
    <w:rsid w:val="433C4838"/>
    <w:rsid w:val="43913333"/>
    <w:rsid w:val="445B0426"/>
    <w:rsid w:val="44872FC9"/>
    <w:rsid w:val="44F03A61"/>
    <w:rsid w:val="45EE05FD"/>
    <w:rsid w:val="48582D1F"/>
    <w:rsid w:val="48D12A65"/>
    <w:rsid w:val="49B93101"/>
    <w:rsid w:val="4A314103"/>
    <w:rsid w:val="4A396B13"/>
    <w:rsid w:val="4A6022F2"/>
    <w:rsid w:val="4A792E3C"/>
    <w:rsid w:val="4AA528AF"/>
    <w:rsid w:val="4B1B446B"/>
    <w:rsid w:val="4B1D4687"/>
    <w:rsid w:val="4B5D2CD5"/>
    <w:rsid w:val="4BB3458D"/>
    <w:rsid w:val="4BDA0405"/>
    <w:rsid w:val="4CD24232"/>
    <w:rsid w:val="4CF1605E"/>
    <w:rsid w:val="4D242A90"/>
    <w:rsid w:val="4DFE60AA"/>
    <w:rsid w:val="4E3A4F61"/>
    <w:rsid w:val="4E9E7F64"/>
    <w:rsid w:val="50616DC4"/>
    <w:rsid w:val="522E2CD6"/>
    <w:rsid w:val="528D3C60"/>
    <w:rsid w:val="5345477B"/>
    <w:rsid w:val="53DA4EC3"/>
    <w:rsid w:val="541C7C62"/>
    <w:rsid w:val="548F20B2"/>
    <w:rsid w:val="55216B22"/>
    <w:rsid w:val="556D1114"/>
    <w:rsid w:val="57233025"/>
    <w:rsid w:val="57522E31"/>
    <w:rsid w:val="5783636C"/>
    <w:rsid w:val="578810DA"/>
    <w:rsid w:val="5814296E"/>
    <w:rsid w:val="59C911F8"/>
    <w:rsid w:val="5A9B008F"/>
    <w:rsid w:val="5BA87F9D"/>
    <w:rsid w:val="5BB01BA7"/>
    <w:rsid w:val="5C07081F"/>
    <w:rsid w:val="5C967DF5"/>
    <w:rsid w:val="5CB00EB7"/>
    <w:rsid w:val="5DC664B8"/>
    <w:rsid w:val="5E5747A4"/>
    <w:rsid w:val="5E6E2DD8"/>
    <w:rsid w:val="5F111436"/>
    <w:rsid w:val="5F5E1B31"/>
    <w:rsid w:val="5F7E529D"/>
    <w:rsid w:val="603F08C7"/>
    <w:rsid w:val="60D61108"/>
    <w:rsid w:val="63B55005"/>
    <w:rsid w:val="64435A74"/>
    <w:rsid w:val="64C41EFD"/>
    <w:rsid w:val="64D4595F"/>
    <w:rsid w:val="695A5DC4"/>
    <w:rsid w:val="696848C8"/>
    <w:rsid w:val="69A2427D"/>
    <w:rsid w:val="6A771266"/>
    <w:rsid w:val="6ACD3216"/>
    <w:rsid w:val="6B2667E8"/>
    <w:rsid w:val="6B642B7A"/>
    <w:rsid w:val="6C9C3918"/>
    <w:rsid w:val="6CBA0E63"/>
    <w:rsid w:val="6D6E0417"/>
    <w:rsid w:val="6D9E545D"/>
    <w:rsid w:val="6F711689"/>
    <w:rsid w:val="6F737718"/>
    <w:rsid w:val="70596C1C"/>
    <w:rsid w:val="705B0CE2"/>
    <w:rsid w:val="70F21646"/>
    <w:rsid w:val="710F0806"/>
    <w:rsid w:val="715E2FBD"/>
    <w:rsid w:val="72D66DF2"/>
    <w:rsid w:val="73032C31"/>
    <w:rsid w:val="73387CCD"/>
    <w:rsid w:val="73A81DCA"/>
    <w:rsid w:val="73F562AA"/>
    <w:rsid w:val="741F3C2F"/>
    <w:rsid w:val="75183646"/>
    <w:rsid w:val="75A373B3"/>
    <w:rsid w:val="767A0D8A"/>
    <w:rsid w:val="774E15A1"/>
    <w:rsid w:val="77B34778"/>
    <w:rsid w:val="788259A6"/>
    <w:rsid w:val="79450781"/>
    <w:rsid w:val="79B550A2"/>
    <w:rsid w:val="7A6A7162"/>
    <w:rsid w:val="7AA04040"/>
    <w:rsid w:val="7B5765B5"/>
    <w:rsid w:val="7B9D2AF7"/>
    <w:rsid w:val="7CE34539"/>
    <w:rsid w:val="7D3308CF"/>
    <w:rsid w:val="7E24305B"/>
    <w:rsid w:val="7E5971A9"/>
    <w:rsid w:val="7E670088"/>
    <w:rsid w:val="7EF83A0E"/>
    <w:rsid w:val="7F0C3FA1"/>
    <w:rsid w:val="7F185CE2"/>
    <w:rsid w:val="7F337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cs="Courier New" w:eastAsiaTheme="minorEastAsia"/>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character" w:styleId="10">
    <w:name w:val="Strong"/>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styleId="16">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2022-01-11T08:51:58Z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2052-11.1.0.11294</vt:lpwstr>
  </property>
</Properties>
</file>