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393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384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bookmarkStart w:id="0" w:name="组织名称"/>
            <w:r>
              <w:rPr>
                <w:rFonts w:hint="eastAsia"/>
                <w:sz w:val="24"/>
                <w:szCs w:val="24"/>
              </w:rPr>
              <w:t>实验室</w:t>
            </w:r>
            <w:bookmarkEnd w:id="0"/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rFonts w:hint="eastAsia"/>
                <w:sz w:val="24"/>
                <w:szCs w:val="24"/>
              </w:rPr>
              <w:t xml:space="preserve">主管领导：王瑞瑞 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陪同人员：周晨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84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 xml:space="preserve">审核员：伍光华，王琳（实习） 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bookmarkStart w:id="1" w:name="审核日期"/>
            <w:r>
              <w:t>2022年01月0</w:t>
            </w:r>
            <w:r>
              <w:rPr>
                <w:rFonts w:hint="eastAsia"/>
                <w:lang w:val="en-US" w:eastAsia="zh-CN"/>
              </w:rPr>
              <w:t>9</w:t>
            </w:r>
            <w:r>
              <w:t>日 上午至2022年01月0</w:t>
            </w:r>
            <w:r>
              <w:rPr>
                <w:rFonts w:hint="eastAsia"/>
                <w:lang w:val="en-US" w:eastAsia="zh-CN"/>
              </w:rPr>
              <w:t>9</w:t>
            </w:r>
            <w:r>
              <w:t>日 下午</w:t>
            </w:r>
            <w:bookmarkEnd w:id="1"/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napToGrid w:val="0"/>
              <w:spacing w:line="2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 w:ascii="宋体" w:hAnsi="宋体" w:cs="宋体"/>
                <w:szCs w:val="21"/>
              </w:rPr>
              <w:t>Q:5.3/6.1/6.2/</w:t>
            </w:r>
            <w:r>
              <w:rPr>
                <w:rFonts w:hint="eastAsia" w:ascii="宋体" w:hAnsi="宋体" w:cs="宋体"/>
                <w:bCs/>
                <w:szCs w:val="21"/>
              </w:rPr>
              <w:t>7.1.5/8.6/8.7/9.1/</w:t>
            </w:r>
            <w:r>
              <w:rPr>
                <w:rFonts w:ascii="宋体" w:hAnsi="宋体" w:cs="宋体"/>
                <w:bCs/>
                <w:szCs w:val="21"/>
              </w:rPr>
              <w:t>9.1.3</w:t>
            </w:r>
            <w:r>
              <w:rPr>
                <w:rFonts w:hint="eastAsia" w:ascii="宋体" w:hAnsi="宋体" w:cs="宋体"/>
                <w:bCs/>
                <w:szCs w:val="21"/>
              </w:rPr>
              <w:t>//10.2/10.3</w:t>
            </w:r>
          </w:p>
          <w:p>
            <w:pPr>
              <w:snapToGrid w:val="0"/>
              <w:spacing w:line="2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E:5.3/6.1.1/6.2/</w:t>
            </w:r>
            <w:r>
              <w:rPr>
                <w:rFonts w:hint="eastAsia" w:ascii="宋体" w:hAnsi="宋体" w:cs="宋体"/>
                <w:bCs/>
                <w:szCs w:val="21"/>
              </w:rPr>
              <w:t>6.1.2/6.1.3</w:t>
            </w:r>
            <w:r>
              <w:rPr>
                <w:rFonts w:hint="eastAsia" w:ascii="宋体" w:hAnsi="宋体" w:cs="宋体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szCs w:val="21"/>
              </w:rPr>
              <w:t>6.1.4</w:t>
            </w:r>
            <w:r>
              <w:rPr>
                <w:rFonts w:hint="eastAsia" w:ascii="宋体" w:hAnsi="宋体" w:cs="宋体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szCs w:val="21"/>
              </w:rPr>
              <w:t>8.1</w:t>
            </w:r>
            <w:r>
              <w:rPr>
                <w:rFonts w:hint="eastAsia" w:ascii="宋体" w:hAnsi="宋体" w:cs="宋体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szCs w:val="21"/>
              </w:rPr>
              <w:t>8.2/9.1.1/9.1.2</w:t>
            </w:r>
            <w:r>
              <w:rPr>
                <w:rFonts w:hint="eastAsia" w:ascii="宋体" w:hAnsi="宋体" w:cs="宋体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szCs w:val="21"/>
              </w:rPr>
              <w:t>10.2/10.3</w:t>
            </w:r>
            <w:bookmarkStart w:id="3" w:name="_GoBack"/>
            <w:bookmarkEnd w:id="3"/>
          </w:p>
          <w:p>
            <w:pPr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S:5.3/5.4/6.1.2/6.1.3/6.1.4/6.2/8.1.2/8.1.3/8.1.4/8.2/9.1.1/9.1.2/10.2/10.3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384" w:type="dxa"/>
          </w:tcPr>
          <w:p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询查部门及人员的职责和权限，是否与规定一致？</w:t>
            </w:r>
          </w:p>
        </w:tc>
        <w:tc>
          <w:tcPr>
            <w:tcW w:w="960" w:type="dxa"/>
          </w:tcPr>
          <w:p>
            <w:pPr>
              <w:rPr>
                <w:rFonts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QES5.3</w:t>
            </w:r>
          </w:p>
          <w:p>
            <w:r>
              <w:rPr>
                <w:rFonts w:hint="eastAsia"/>
              </w:rPr>
              <w:t>S</w:t>
            </w:r>
            <w:r>
              <w:t>5.4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查《管理手册》中的职能分配表和手册中规定：对职能部门和各类人员的职责和权限做了规定，同时制定了部门职责及员工岗位说明书，符合规定要求。</w:t>
            </w:r>
          </w:p>
          <w:p>
            <w:pPr>
              <w:numPr>
                <w:ilvl w:val="3"/>
                <w:numId w:val="0"/>
              </w:numPr>
              <w:spacing w:line="360" w:lineRule="auto"/>
              <w:ind w:firstLine="420" w:firstLineChars="20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实验室主管领导：王瑞瑞，另有实验员、检验员，具体负责产品检验与试验、不合格品控制与处理、产品放行、纠正措施控制、预防措施控制、危险源、环境因素识别及评价控制、目标指标和管理方案控制、运行控制、应急准备和响应控制、日常办公活动等，</w:t>
            </w:r>
          </w:p>
          <w:p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现场与实验室主管领导王瑞瑞沟通，对本部门的责和权限比较了解，基本符合。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384" w:type="dxa"/>
          </w:tcPr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  <w:t>应对风险和机遇的措施</w:t>
            </w:r>
          </w:p>
          <w:p/>
        </w:tc>
        <w:tc>
          <w:tcPr>
            <w:tcW w:w="960" w:type="dxa"/>
          </w:tcPr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Q</w:t>
            </w: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6.1</w:t>
            </w:r>
          </w:p>
          <w:p>
            <w:pPr>
              <w:rPr>
                <w:rFonts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ES6.1.1</w:t>
            </w:r>
          </w:p>
          <w:p/>
        </w:tc>
        <w:tc>
          <w:tcPr>
            <w:tcW w:w="10004" w:type="dxa"/>
          </w:tcPr>
          <w:p>
            <w:pPr>
              <w:numPr>
                <w:ilvl w:val="3"/>
                <w:numId w:val="0"/>
              </w:num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用过程方法及风险评价识别了本部门的质量、环境、职业健康安全风险及应对措施的策划，有《风险识别及措施表》、《质量管理风险、机遇及应对措施》，将需要应对的风险和机遇进行风险分析确定风险级别（一般风险、高风险），在质量管理体系所确定的过程（生产制造、合同评审过程；产品交付；顾客服务；人力资源控制等）中，整合制定针对性管理措施（如程序控制等）。</w:t>
            </w:r>
          </w:p>
          <w:p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进行了措施有效性的评审，结果为有效，编制人周晨，审核人胡金龙，审核日期202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1.5.28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384" w:type="dxa"/>
          </w:tcPr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  <w:t>目标及其实现的策划总要求</w:t>
            </w:r>
          </w:p>
          <w:p/>
        </w:tc>
        <w:tc>
          <w:tcPr>
            <w:tcW w:w="960" w:type="dxa"/>
          </w:tcPr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QES</w:t>
            </w: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6.2</w:t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Q7.4</w:t>
            </w:r>
          </w:p>
          <w:p/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公司目标管理规定，规定了目标的分解及考核的具体方法，公司对质量目标进行了分解。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提供有《目标、指标、绩效完成情况统计表》（编号：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JL541-01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），其中实验室部门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目标及完成情况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如下：</w:t>
            </w:r>
          </w:p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810"/>
              <w:gridCol w:w="1275"/>
              <w:gridCol w:w="1276"/>
              <w:gridCol w:w="99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10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Q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ES</w:t>
                  </w: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目标</w:t>
                  </w:r>
                </w:p>
              </w:tc>
              <w:tc>
                <w:tcPr>
                  <w:tcW w:w="1275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考核情况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考核时间</w:t>
                  </w:r>
                </w:p>
              </w:tc>
              <w:tc>
                <w:tcPr>
                  <w:tcW w:w="992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考核人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10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</w:rPr>
                    <w:t>1、</w:t>
                  </w:r>
                  <w:r>
                    <w:t>在用计量设备在检率达到100%</w:t>
                  </w:r>
                </w:p>
              </w:tc>
              <w:tc>
                <w:tcPr>
                  <w:tcW w:w="1275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t>100%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2021.9.30</w:t>
                  </w:r>
                </w:p>
              </w:tc>
              <w:tc>
                <w:tcPr>
                  <w:tcW w:w="992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周晨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10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</w:rPr>
                    <w:t>2、</w:t>
                  </w:r>
                  <w:r>
                    <w:t>设备合格率达到100%</w:t>
                  </w:r>
                </w:p>
              </w:tc>
              <w:tc>
                <w:tcPr>
                  <w:tcW w:w="1275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t>100%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2021.9.30</w:t>
                  </w:r>
                </w:p>
              </w:tc>
              <w:tc>
                <w:tcPr>
                  <w:tcW w:w="992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周晨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10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</w:rPr>
                    <w:t>3、</w:t>
                  </w:r>
                  <w:r>
                    <w:t>试验室检测准确率达99%以上</w:t>
                  </w:r>
                </w:p>
              </w:tc>
              <w:tc>
                <w:tcPr>
                  <w:tcW w:w="1275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t>100%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2021.9.30</w:t>
                  </w:r>
                </w:p>
              </w:tc>
              <w:tc>
                <w:tcPr>
                  <w:tcW w:w="992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周晨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10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</w:rPr>
                    <w:t>4、</w:t>
                  </w:r>
                  <w:r>
                    <w:t>样品标识准确率达到100%</w:t>
                  </w:r>
                </w:p>
              </w:tc>
              <w:tc>
                <w:tcPr>
                  <w:tcW w:w="1275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t>100%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2021.9.30</w:t>
                  </w:r>
                </w:p>
              </w:tc>
              <w:tc>
                <w:tcPr>
                  <w:tcW w:w="992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周晨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10" w:type="dxa"/>
                </w:tcPr>
                <w:p>
                  <w:pPr>
                    <w:spacing w:line="360" w:lineRule="auto"/>
                  </w:pPr>
                  <w:r>
                    <w:rPr>
                      <w:rFonts w:hint="eastAsia"/>
                    </w:rPr>
                    <w:t>5、重大质量事故和安全事故为零</w:t>
                  </w:r>
                </w:p>
              </w:tc>
              <w:tc>
                <w:tcPr>
                  <w:tcW w:w="1275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达标排放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2021.9.30</w:t>
                  </w:r>
                </w:p>
              </w:tc>
              <w:tc>
                <w:tcPr>
                  <w:tcW w:w="992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周晨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10" w:type="dxa"/>
                </w:tcPr>
                <w:p>
                  <w:pPr>
                    <w:spacing w:line="360" w:lineRule="auto"/>
                  </w:pPr>
                  <w:r>
                    <w:rPr>
                      <w:rFonts w:hint="eastAsia"/>
                    </w:rPr>
                    <w:t>6、按规定处置固体废弃物——固体废弃物</w:t>
                  </w:r>
                </w:p>
              </w:tc>
              <w:tc>
                <w:tcPr>
                  <w:tcW w:w="1275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t>0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2021.9.30</w:t>
                  </w:r>
                </w:p>
              </w:tc>
              <w:tc>
                <w:tcPr>
                  <w:tcW w:w="992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周晨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10" w:type="dxa"/>
                </w:tcPr>
                <w:p>
                  <w:pPr>
                    <w:spacing w:line="360" w:lineRule="auto"/>
                  </w:pPr>
                  <w:r>
                    <w:rPr>
                      <w:rFonts w:hint="eastAsia"/>
                    </w:rPr>
                    <w:t>7、职业病发生率控制在零</w:t>
                  </w:r>
                </w:p>
              </w:tc>
              <w:tc>
                <w:tcPr>
                  <w:tcW w:w="1275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t>0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021.9.30</w:t>
                  </w:r>
                </w:p>
              </w:tc>
              <w:tc>
                <w:tcPr>
                  <w:tcW w:w="992" w:type="dxa"/>
                </w:tcPr>
                <w:p>
                  <w:pPr>
                    <w:spacing w:line="360" w:lineRule="auto"/>
                    <w:rPr>
                      <w:rFonts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/>
                    </w:rPr>
                    <w:t>周晨</w:t>
                  </w:r>
                </w:p>
              </w:tc>
            </w:tr>
          </w:tbl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目标与方针一致，目标均已达成。</w:t>
            </w:r>
          </w:p>
          <w:p>
            <w:pPr>
              <w:spacing w:line="360" w:lineRule="auto"/>
              <w:ind w:left="55" w:leftChars="26" w:firstLine="316" w:firstLineChars="15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环境管理方案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：</w:t>
            </w:r>
          </w:p>
          <w:p>
            <w:pPr>
              <w:spacing w:line="360" w:lineRule="auto"/>
              <w:ind w:left="55" w:leftChars="26" w:firstLine="315" w:firstLineChars="15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提供了《环境目标、指标、管理方案》（编号：</w:t>
            </w:r>
            <w:r>
              <w:rPr>
                <w:rFonts w:hint="eastAsia" w:ascii="宋体" w:hAnsi="宋体"/>
                <w:szCs w:val="21"/>
              </w:rPr>
              <w:t>JL621-01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，编制：周晨 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021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年7月1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人日，审批：胡金龙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年7月1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日）。 管理方案内容包括如下：环境目标、环境指标、管理措施、完成时间、责任部门等内容。具有一定的可操作性。</w:t>
            </w:r>
          </w:p>
          <w:p>
            <w:pPr>
              <w:spacing w:line="360" w:lineRule="auto"/>
              <w:ind w:left="55" w:leftChars="26" w:firstLine="315" w:firstLineChars="15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抽查管理方案的实施情况</w:t>
            </w:r>
          </w:p>
          <w:p>
            <w:pPr>
              <w:spacing w:line="360" w:lineRule="auto"/>
              <w:ind w:left="55" w:leftChars="26" w:firstLine="315" w:firstLineChars="15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对噪声达标排放 采取措施如下：1.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建立环境保护管理规定；噪声隔离，减少接触时间；2.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加强设备维修保养润滑，减少噪声排放。完成情况：于202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年8月30日对生产车间进行噪声控制检查，符合要求。</w:t>
            </w:r>
          </w:p>
          <w:p>
            <w:pPr>
              <w:spacing w:line="360" w:lineRule="auto"/>
              <w:ind w:left="55" w:leftChars="26" w:firstLine="315" w:firstLineChars="15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对粉尘达标排放 采取措施如下：1.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建立生产现场环境保护管理制度，定时洒水、清扫；2.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原材料堆场、生产车间正在进行全覆盖工程，配备喷雾和布袋除尘装置。完成情况：于202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年8月30日对生产车间进行粉尘控制检查，符合要求。</w:t>
            </w:r>
          </w:p>
          <w:p>
            <w:pPr>
              <w:spacing w:line="360" w:lineRule="auto"/>
              <w:ind w:left="55" w:leftChars="26" w:firstLine="316" w:firstLineChars="150"/>
              <w:rPr>
                <w:rFonts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职业健康安全管理方案：</w:t>
            </w:r>
          </w:p>
          <w:p>
            <w:pPr>
              <w:spacing w:line="360" w:lineRule="auto"/>
              <w:ind w:left="55" w:leftChars="26" w:firstLine="315" w:firstLineChars="15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《职业健康安全目标及管理方案》（编号：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编号</w:t>
            </w:r>
            <w:r>
              <w:rPr>
                <w:rFonts w:hint="eastAsia" w:ascii="宋体" w:hAnsi="宋体"/>
                <w:szCs w:val="21"/>
              </w:rPr>
              <w:t>JL621-02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，编制：周晨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年7月1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日，审批：胡金龙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年7月1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日）。管理方案内容如下：目标、对应不可接受风险、管理措施、实施时间、责任部门、责任人、计划投资等内容。具有一定的可操作性。</w:t>
            </w:r>
          </w:p>
          <w:p>
            <w:pPr>
              <w:spacing w:line="360" w:lineRule="auto"/>
              <w:ind w:left="55" w:leftChars="26" w:firstLine="315" w:firstLineChars="15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抽查管理方案的实施情况</w:t>
            </w:r>
          </w:p>
          <w:p>
            <w:pPr>
              <w:spacing w:line="360" w:lineRule="auto"/>
              <w:ind w:left="55" w:leftChars="26" w:firstLine="315" w:firstLineChars="15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针对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高空坠落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采取措施如下：周边防护高处高于作业面。完成情况：于202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月30日检查生产车间安全防护到位符合要求。</w:t>
            </w:r>
          </w:p>
          <w:p>
            <w:pPr>
              <w:spacing w:line="360" w:lineRule="auto"/>
              <w:ind w:left="55" w:leftChars="26" w:firstLine="315" w:firstLineChars="15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针对 运输伤害 采取措施如下：加强司机安全教育，车辆转弯注意盲区。完成情况：于202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年8月30日检查生产部车队，车队司机安全意识加强，规范开车。</w:t>
            </w:r>
          </w:p>
          <w:p>
            <w:pPr>
              <w:spacing w:line="360" w:lineRule="auto"/>
              <w:ind w:left="55" w:leftChars="26" w:firstLine="315" w:firstLineChars="15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针对 机械伤害 采取措施如下：为杜绝机械伤害，在设备使用前进行全面检查，制定设备安全操作规程。完成情况：于202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年8月30日进行了检测，规范操作。</w:t>
            </w:r>
          </w:p>
          <w:p>
            <w:pPr>
              <w:spacing w:line="360" w:lineRule="auto"/>
              <w:ind w:left="55" w:leftChars="26" w:firstLine="315" w:firstLineChars="15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针对 火灾爆炸 采取措施如下：加强安全教育，杜绝违规操作，定期安全生产检查。完成情况：于202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年7月30日检查生产车间安全防护到位符合要求。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针对 触电 采取措施如下：加强安全教育，杜绝违规操作，，禁止乱接乱搭电线，定期安全生产检查。完成情况：于202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年7月30日检查生产车间规范接线，符合要求。</w:t>
            </w:r>
          </w:p>
          <w:p>
            <w:pPr>
              <w:spacing w:line="360" w:lineRule="auto"/>
              <w:ind w:left="55" w:leftChars="26" w:firstLine="315" w:firstLineChars="150"/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针对 职业病 采取措施如下：预防职业病，佩戴防护罩和耳塞。完成情况：于202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年8月30日检查生产车间，重要岗位佩戴了防护用品。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384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环境因素的识别、评价；危险源辨识、风险评价和控制措施的确定</w:t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kern w:val="0"/>
                <w:szCs w:val="21"/>
              </w:rPr>
            </w:pPr>
          </w:p>
        </w:tc>
        <w:tc>
          <w:tcPr>
            <w:tcW w:w="960" w:type="dxa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 xml:space="preserve">ES6.1.2 </w:t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ES6.1.4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提供有《环境因素识别与评价控制程序》（编号：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JMFT-CX-2019-02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），对环境因素识别和评价的目的、职责、工作程序和记录的要求均有明确的规定。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查到《环境因素识别评价表-实验室》（编号：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JL612-06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，编制：柴晓亮 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年5月1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日，审批：胡金龙 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年5月1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日），已识别实验室作业场所的环境因素包括：</w:t>
            </w:r>
            <w:r>
              <w:rPr>
                <w:rFonts w:hint="eastAsia" w:ascii="宋体" w:hAnsi="宋体" w:cs="宋体"/>
                <w:kern w:val="0"/>
                <w:szCs w:val="21"/>
              </w:rPr>
              <w:t>砼搅拌机、振动台、振筛机等运转产生的噪声，各类废弃试块，化学试剂的废液排放，化学试剂容器的废弃。办公、生活区的环境因素包括：废报、杂志、纸张、纸包装等废弃，电池、墨盒、硒鼓、复写纸、日光灯管、塑料包装物的废弃等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在环境评价过程中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考虑到环境影响、三种时态和三种状态等。使用分级评分的方式。基本合理。</w:t>
            </w:r>
          </w:p>
          <w:p>
            <w:pPr>
              <w:spacing w:before="156" w:beforeLines="50" w:line="360" w:lineRule="auto"/>
              <w:ind w:firstLine="42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查到《重要环境因素清单》（编号：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JL612-08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，编制：柴晓亮 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年5月1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日，审批：胡金龙 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年5月1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日）已识别重要环境因素包括：粉尘的排放、噪声的排放。明确的控制措施和责任部门，基本合理。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查到《危险源辨识评价表》（编号：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JL612-08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，编制：柴晓亮 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年5月1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日，审批：胡金龙 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年5月1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日），内容有：作业活动名称、潜在危险因素、时态、状态、可导致事故、可采取控制措施、危险发生的可能性L、损失后果C、频繁程度E、等。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识别出实验室作业过程危险源有：职业病、机械伤害、固废、火灾、触电等。优先控制风险采用“LEC”方法进行评价。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提供有《不可接受风险及其控制措施清单》（编号：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JL612-08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，编制：柴晓亮 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年5月1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日，审批：胡金龙 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年5月1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日）。识别出不可接受风险有：机械伤害、高空坠落、运输伤亡、职业病、火灾爆炸、触电，并制定有控制措施。</w:t>
            </w:r>
          </w:p>
          <w:p>
            <w:pPr>
              <w:snapToGrid w:val="0"/>
              <w:spacing w:line="260" w:lineRule="exact"/>
              <w:rPr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以上危险源识别基本全面、无遗漏，评价基本合理。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384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合规评价,合规性评价</w:t>
            </w:r>
          </w:p>
        </w:tc>
        <w:tc>
          <w:tcPr>
            <w:tcW w:w="960" w:type="dxa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E</w:t>
            </w:r>
            <w:r>
              <w:rPr>
                <w:rFonts w:asciiTheme="minorEastAsia" w:hAnsiTheme="minorEastAsia" w:eastAsiaTheme="minorEastAsia" w:cstheme="minorEastAsia"/>
                <w:b/>
                <w:szCs w:val="21"/>
              </w:rPr>
              <w:t>S 6.1.3</w:t>
            </w:r>
          </w:p>
          <w:p>
            <w:pPr>
              <w:jc w:val="left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9</w:t>
            </w:r>
            <w:r>
              <w:rPr>
                <w:rFonts w:asciiTheme="minorEastAsia" w:hAnsiTheme="minorEastAsia" w:eastAsiaTheme="minorEastAsia" w:cstheme="minorEastAsia"/>
                <w:b/>
                <w:szCs w:val="21"/>
              </w:rPr>
              <w:t>.1.2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提供有《法律与其它要求控制程序》（编号：JMFT-CX-2019-04），对合规义务管控的职责、识别范围、获取的方法与渠道、法律法规传达、评审和确认等做出了规定。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提供有《法律法规和其他要求清单》（编号：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JL612-01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，编制：周晨2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年6月1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日，审批：胡金龙2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年6月1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日）。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环境管理体系方面：针对污水排放、噪声排放、废气排放、固废、危废的贮存/排放/使用、火灾、产品自身污染、节能降耗等环境因素识别了包括《中华人民共和国水污染防治法》、《中华人民共和国水法》、                《水污染物排放许可证管理暂行办法》、《中华人民共和国环境噪声污染防治法》、《中华人民共和国大气污染防治法》、《中华人民共和国固体废弃物污染环境防治法》、《国家危险废物名录》、《中华人民共和国安全生产法》、《危险废物转移联单管理办法》、《中华人民共和国消防法》、《中华人民共和国节约能源法》、《中华人民共和国环境保护法》等共计8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条与环境相关的企业适用法律法规及其他要求，并识别到了对应法规中适用的章节和/或条款。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职业健康与安全方面：识别了《中华人民共和国安全生产法》、《中华人民共和国道路交通安全法》、《中华人民共和国消防法》、《中华人民共和国未成年人保护法》、《中华人民共和国建筑法》、《中华人民共和国环境噪声污染防治法》、《中华人民共和国传染病防治法》、《中华人民共和国职业病防治法》等共计81条适用的法律法规。</w:t>
            </w:r>
          </w:p>
          <w:p>
            <w:pPr>
              <w:pStyle w:val="14"/>
              <w:spacing w:line="360" w:lineRule="auto"/>
              <w:ind w:firstLine="630" w:firstLineChars="300"/>
              <w:rPr>
                <w:rFonts w:asciiTheme="minorEastAsia" w:hAnsiTheme="minorEastAsia" w:eastAsiaTheme="minorEastAsia" w:cstheme="minorEastAsia"/>
                <w:spacing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szCs w:val="21"/>
              </w:rPr>
              <w:t>企业于2</w:t>
            </w:r>
            <w:r>
              <w:rPr>
                <w:rFonts w:asciiTheme="minorEastAsia" w:hAnsiTheme="minorEastAsia" w:eastAsiaTheme="minorEastAsia" w:cstheme="minorEastAsia"/>
                <w:spacing w:val="0"/>
                <w:szCs w:val="21"/>
              </w:rPr>
              <w:t>021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szCs w:val="21"/>
              </w:rPr>
              <w:t>年</w:t>
            </w:r>
            <w:r>
              <w:rPr>
                <w:rFonts w:asciiTheme="minorEastAsia" w:hAnsiTheme="minorEastAsia" w:eastAsiaTheme="minorEastAsia" w:cstheme="minorEastAsia"/>
                <w:spacing w:val="0"/>
                <w:szCs w:val="21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spacing w:val="0"/>
                <w:szCs w:val="21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szCs w:val="21"/>
              </w:rPr>
              <w:t>日进行了合规性评价，提供有《2021年度合规性评价报告》，参加评审的人员有周晨、胡金龙、柴晓亮和刘玉华。评价的结论是：“从本年度检查的结果来看，我公司没有违反国家法律、法规及相关标准，能严格遵守国家有关环境和职业健康安全管理方面的相关规定，密切关注法律法规的变化，并适时调整，严格按体系标准执行。未发生重大安全生产事故，无环境污染事件发生，未发生尘肺病、传染病及其他卫生防疫问题事件，无个人或单位投诉。执行结果是有效的。对公司的环保意识和环境管理水平的提高起到了明显的促进作用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企业合规义务管控基本符合要求。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384" w:type="dxa"/>
          </w:tcPr>
          <w:p>
            <w:pPr>
              <w:pStyle w:val="6"/>
              <w:spacing w:line="360" w:lineRule="auto"/>
              <w:ind w:firstLine="0" w:firstLineChars="0"/>
              <w:jc w:val="both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查现场基础设施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监视、测量设备</w:t>
            </w:r>
          </w:p>
        </w:tc>
        <w:tc>
          <w:tcPr>
            <w:tcW w:w="960" w:type="dxa"/>
          </w:tcPr>
          <w:p>
            <w:pPr>
              <w:pStyle w:val="6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Q7.1.3</w:t>
            </w:r>
          </w:p>
          <w:p>
            <w:pPr>
              <w:jc w:val="left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Q</w:t>
            </w: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7.1.5</w:t>
            </w:r>
          </w:p>
        </w:tc>
        <w:tc>
          <w:tcPr>
            <w:tcW w:w="10004" w:type="dxa"/>
          </w:tcPr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color w:val="FF0000"/>
                <w:sz w:val="21"/>
                <w:szCs w:val="21"/>
                <w:u w:val="singl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监测资源：查到“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计量器具/监视设备台账”，见电热鼓风恒温干燥箱、标准恒温恒湿养护箱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YH-40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B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全自动养护室标准控制仪、水泥净浆搅拌机、水泥胶砂流动度测定仪、水泥胶砂振实台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2S-15、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水泥胶砂搅拌机、水泥细度值压筛析仪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FYS- 150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、震击式标准振筛机、数显压力试验机J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YE- 200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0、电动抗折试验机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KZJ-500、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水泥快速养护箱、全自动恒应力压力试验机、混凝土贯入阻力仪、沸煮箱、石子压碎指标测定仪、单轴强制式混凝土搅拌机、混凝土振动台、电子计重称等。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在实验室现场查看，电热干燥箱、顶击式振摆仪等设备均有合格证，且在有效期内。</w:t>
            </w:r>
          </w:p>
          <w:p>
            <w:pPr>
              <w:pStyle w:val="6"/>
              <w:spacing w:line="360" w:lineRule="auto"/>
              <w:ind w:firstLine="211" w:firstLineChars="100"/>
              <w:rPr>
                <w:rFonts w:asciiTheme="minorEastAsia" w:hAnsiTheme="minorEastAsia" w:eastAsiaTheme="minorEastAsia" w:cs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</w:rPr>
              <w:t>抽查检定证书：</w:t>
            </w:r>
          </w:p>
          <w:p>
            <w:pPr>
              <w:pStyle w:val="6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LXH20210614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计量器具名称：混凝土电子配料外加剂秤，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TSH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-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200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出厂编号：F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T20170023,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有效期至：2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检定结论：合格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检定单位：湖北省计量测试技术研究院荆门分院</w:t>
            </w:r>
          </w:p>
          <w:p>
            <w:pPr>
              <w:pStyle w:val="6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LXH20210605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计量器具名称：混凝土电子配料矿粉秤，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HLI-0.5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出厂编号：F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T20170014,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有效期至：2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检定结论：合格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检定单位：湖北省计量测试技术研究院荆门分院</w:t>
            </w:r>
          </w:p>
          <w:p>
            <w:pPr>
              <w:pStyle w:val="6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LXH20210596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计量器具名称：混凝土电子配料水泥秤，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HLI-1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出厂编号：F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T20170005,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有效期至：2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检定结论：合格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检定单位：湖北省计量测试技术研究院荆门分院</w:t>
            </w:r>
          </w:p>
          <w:p>
            <w:pPr>
              <w:pStyle w:val="6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LXH20210635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计量器具名称：混凝土电子配料骨料秤，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HLI-2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出厂编号：F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T20170044,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有效期至：2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检定结论：合格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检定单位：湖北省计量测试技术研究院荆门分院</w:t>
            </w:r>
          </w:p>
          <w:p>
            <w:pPr>
              <w:pStyle w:val="6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LXH20210600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计量器具名称：混凝土电子配料煤灰秤，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HLI-0.5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出厂编号：F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T20170009,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有效期至：2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检定结论：合格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检定单位：湖北省计量测试技术研究院荆门分院</w:t>
            </w:r>
          </w:p>
          <w:p>
            <w:pPr>
              <w:pStyle w:val="6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LXH20210619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计量器具名称：混凝土电子配料水秤，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TSH-2000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出厂编号：F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T20170028,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有效期至：2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检定结论：合格</w:t>
            </w:r>
          </w:p>
          <w:p>
            <w:pPr>
              <w:pStyle w:val="6"/>
              <w:spacing w:line="360" w:lineRule="auto"/>
              <w:ind w:left="57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检定单位：湖北省计量测试技术研究院荆门分院</w:t>
            </w:r>
          </w:p>
          <w:p>
            <w:pPr>
              <w:pStyle w:val="6"/>
              <w:spacing w:line="360" w:lineRule="auto"/>
              <w:ind w:firstLine="210" w:firstLineChars="10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7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LZD20210025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计量器具名称：振动台，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m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*1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m，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出厂编号：5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722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检定结论：合格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有效期至：2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检定单位：湖北省计量测试技术研究院荆门分院</w:t>
            </w:r>
          </w:p>
          <w:p>
            <w:pPr>
              <w:pStyle w:val="6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8.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LJS20210039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计量器具名称：水泥胶砂搅拌机，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JJ-5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，出厂编号：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90065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检定结论：合格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有效期至：2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检定单位：湖北省计量测试技术研究院荆门分院</w:t>
            </w:r>
          </w:p>
          <w:p>
            <w:pPr>
              <w:pStyle w:val="6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.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RWC20210655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计量器具名称：标准恒温恒湿机养护设备，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BYS-60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出厂编号：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90065, 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检定结论：合格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有效期至：2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检定单位：湖北省计量测试技术研究院荆门分院</w:t>
            </w:r>
          </w:p>
          <w:p>
            <w:pPr>
              <w:pStyle w:val="6"/>
              <w:spacing w:line="360" w:lineRule="auto"/>
              <w:ind w:left="420" w:hanging="420" w:hangingChars="20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0.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LCL20210182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计量器具名称：电脑全自动水泥抗折抗压试验机，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DYE-300S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，出厂编号：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90065,     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检定结论：合格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有效期至：2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检定单位：湖北省计量测试技术研究院荆门分院</w:t>
            </w:r>
          </w:p>
          <w:p>
            <w:pPr>
              <w:pStyle w:val="6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</w:rPr>
              <w:t>抽查部分校准证书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：</w:t>
            </w:r>
          </w:p>
          <w:p>
            <w:pPr>
              <w:pStyle w:val="6"/>
              <w:numPr>
                <w:ilvl w:val="0"/>
                <w:numId w:val="2"/>
              </w:numPr>
              <w:spacing w:line="360" w:lineRule="auto"/>
              <w:ind w:left="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RWS20210621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计量器具名称：温湿度表，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HTC-1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器具编号：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1,   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建议再校日期：2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校准单位：湖北省计量测试技术研究院荆门分院</w:t>
            </w:r>
          </w:p>
          <w:p>
            <w:pPr>
              <w:pStyle w:val="6"/>
              <w:numPr>
                <w:ilvl w:val="0"/>
                <w:numId w:val="2"/>
              </w:numPr>
              <w:spacing w:line="360" w:lineRule="auto"/>
              <w:ind w:left="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LLD20210022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计量器具名称：水泥胶砂流动度测定仪，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NLD-3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器具编号：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5617,  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建议再校日期：2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校准单位：湖北省计量测试技术研究院荆门分院</w:t>
            </w:r>
          </w:p>
          <w:p>
            <w:pPr>
              <w:pStyle w:val="6"/>
              <w:numPr>
                <w:ilvl w:val="0"/>
                <w:numId w:val="2"/>
              </w:numPr>
              <w:spacing w:line="360" w:lineRule="auto"/>
              <w:ind w:left="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LCD20210036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计量器具名称：砂浆稠度仪，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SC-145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器具编号：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170520,    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建议再校日期：2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校准单位：湖北省计量测试技术研究院荆门分院</w:t>
            </w:r>
          </w:p>
          <w:p>
            <w:pPr>
              <w:pStyle w:val="6"/>
              <w:numPr>
                <w:ilvl w:val="0"/>
                <w:numId w:val="2"/>
              </w:numPr>
              <w:spacing w:line="360" w:lineRule="auto"/>
              <w:ind w:left="0"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证书编号：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LFS20210022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， 计量器具名称：水泥细度负压筛析仪， 型号/规格：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FYS-150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， 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器具编号：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412, 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建议再校日期：2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022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年0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月2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日， </w:t>
            </w:r>
            <w:r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 xml:space="preserve"> 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  <w:t>校准单位：湖北省计量测试技术研究院荆门分院</w:t>
            </w:r>
          </w:p>
          <w:p>
            <w:pPr>
              <w:pStyle w:val="6"/>
              <w:spacing w:line="360" w:lineRule="auto"/>
              <w:rPr>
                <w:rFonts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监视和测量资源搬运、储存维护满足要求，状态标识符合要求。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负责人介绍：监视和测量设备由检查员负责保管、使用，确保了仪器的正常使用。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试验室人员持证上岗，提供有检验员证，证书见附件。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384" w:type="dxa"/>
          </w:tcPr>
          <w:p>
            <w:pPr>
              <w:pStyle w:val="6"/>
              <w:spacing w:line="360" w:lineRule="auto"/>
              <w:ind w:firstLine="0" w:firstLineChars="0"/>
              <w:jc w:val="both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产品的服务和放行</w:t>
            </w:r>
          </w:p>
        </w:tc>
        <w:tc>
          <w:tcPr>
            <w:tcW w:w="960" w:type="dxa"/>
          </w:tcPr>
          <w:p>
            <w:pPr>
              <w:pStyle w:val="6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Q8.6</w:t>
            </w:r>
          </w:p>
          <w:p>
            <w:pPr>
              <w:pStyle w:val="6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S 8.1.4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210" w:firstLineChars="100"/>
              <w:rPr>
                <w:rFonts w:ascii="宋体" w:hAnsi="宋体" w:cs="宋体"/>
                <w:color w:val="FF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制定有：过程/产品服务的监视和测量控制程序对工作程序、检验分类、采购产品、半成品、成品检验和检验记录等做出了明确规定。试验室（质检）根据产品实现过程监视和测量策划的结果，按体系文件、公司规定确定的监视和测量点进行监视和测量作好监测记录，实施进货、过程和最终（成品）检验，并保持记录。见证：1、原材料进货检验规程、过程和最终（成品）检验规程，规定了检验项目、工作程序、记录要求、最终检验项目及标准等。编制：王瑞瑞。审批：胡金龙。</w:t>
            </w:r>
          </w:p>
          <w:p>
            <w:pPr>
              <w:spacing w:line="360" w:lineRule="auto"/>
              <w:ind w:firstLine="210" w:firstLineChars="1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以上文件，由实验结合不同产品制定并执行。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70" w:firstLine="0" w:firstLineChars="0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查配比验证-</w:t>
            </w:r>
            <w:r>
              <w:rPr>
                <w:rFonts w:ascii="宋体" w:hAnsi="宋体" w:cs="宋体"/>
                <w:b/>
                <w:bCs/>
                <w:szCs w:val="21"/>
              </w:rPr>
              <w:t>--</w:t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>查普通混凝土配合比设计试验报告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1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试验编号：</w:t>
            </w:r>
            <w:r>
              <w:rPr>
                <w:rFonts w:hint="eastAsia"/>
                <w:bCs/>
              </w:rPr>
              <w:t>H</w:t>
            </w:r>
            <w:r>
              <w:rPr>
                <w:bCs/>
              </w:rPr>
              <w:t>Q06003-PB2021080004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设计强度等级：C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25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标准依据：JGJ55-2011    检验设备：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数显压力试验机J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YE- 200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0等，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检验环境温度：2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℃    养护方法：标养     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坍落度（mm）：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150-210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 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原材料设计配合比(备注：配合比中的沙、石均为干燥状态的用量)：</w:t>
            </w:r>
          </w:p>
          <w:tbl>
            <w:tblPr>
              <w:tblStyle w:val="8"/>
              <w:tblW w:w="1004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77"/>
              <w:gridCol w:w="647"/>
              <w:gridCol w:w="709"/>
              <w:gridCol w:w="992"/>
              <w:gridCol w:w="851"/>
              <w:gridCol w:w="977"/>
              <w:gridCol w:w="977"/>
              <w:gridCol w:w="881"/>
              <w:gridCol w:w="850"/>
              <w:gridCol w:w="1203"/>
              <w:gridCol w:w="97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77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jc w:val="left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bookmarkStart w:id="2" w:name="_Hlk92618473"/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每m³砼各材料用量（kg）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</w:t>
                  </w: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水泥</w:t>
                  </w:r>
                </w:p>
              </w:tc>
              <w:tc>
                <w:tcPr>
                  <w:tcW w:w="992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砂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石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掺合料1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外加剂1</w:t>
                  </w:r>
                </w:p>
              </w:tc>
              <w:tc>
                <w:tcPr>
                  <w:tcW w:w="881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水胶比</w:t>
                  </w:r>
                </w:p>
              </w:tc>
              <w:tc>
                <w:tcPr>
                  <w:tcW w:w="850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砂率%</w:t>
                  </w:r>
                </w:p>
              </w:tc>
              <w:tc>
                <w:tcPr>
                  <w:tcW w:w="2181" w:type="dxa"/>
                  <w:gridSpan w:val="2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抗压强度M</w:t>
                  </w:r>
                  <w:r>
                    <w:rPr>
                      <w:rFonts w:asciiTheme="minorEastAsia" w:hAnsiTheme="minorEastAsia" w:eastAsiaTheme="minorEastAsia" w:cstheme="minorEastAsia"/>
                      <w:sz w:val="18"/>
                      <w:szCs w:val="18"/>
                    </w:rPr>
                    <w:t>P</w:t>
                  </w: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5" w:hRule="atLeast"/>
              </w:trPr>
              <w:tc>
                <w:tcPr>
                  <w:tcW w:w="977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84</w:t>
                  </w: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84</w:t>
                  </w:r>
                </w:p>
              </w:tc>
              <w:tc>
                <w:tcPr>
                  <w:tcW w:w="992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9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72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8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60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7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9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.91</w:t>
                  </w:r>
                </w:p>
              </w:tc>
              <w:tc>
                <w:tcPr>
                  <w:tcW w:w="881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850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1203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7d</w:t>
                  </w:r>
                </w:p>
              </w:tc>
              <w:tc>
                <w:tcPr>
                  <w:tcW w:w="978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8</w:t>
                  </w: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d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每包水泥配料用量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3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2.4</w:t>
                  </w: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5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</w:t>
                  </w:r>
                </w:p>
              </w:tc>
              <w:tc>
                <w:tcPr>
                  <w:tcW w:w="992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71.1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51.4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2.3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.7</w:t>
                  </w:r>
                </w:p>
              </w:tc>
              <w:tc>
                <w:tcPr>
                  <w:tcW w:w="881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.52</w:t>
                  </w:r>
                </w:p>
              </w:tc>
              <w:tc>
                <w:tcPr>
                  <w:tcW w:w="850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5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3.0</w:t>
                  </w:r>
                </w:p>
              </w:tc>
              <w:tc>
                <w:tcPr>
                  <w:tcW w:w="1203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2.4</w:t>
                  </w:r>
                </w:p>
              </w:tc>
              <w:tc>
                <w:tcPr>
                  <w:tcW w:w="978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3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3.3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重量</w:t>
                  </w:r>
                </w:p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配合比例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.65</w:t>
                  </w: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</w:p>
              </w:tc>
              <w:tc>
                <w:tcPr>
                  <w:tcW w:w="992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3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.42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3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.03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.246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.035</w:t>
                  </w:r>
                </w:p>
              </w:tc>
              <w:tc>
                <w:tcPr>
                  <w:tcW w:w="881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850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1203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978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</w:tr>
            <w:bookmarkEnd w:id="2"/>
          </w:tbl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试验：唐明      校核：王瑞瑞      </w:t>
            </w:r>
            <w:r>
              <w:rPr>
                <w:rFonts w:hint="eastAsia"/>
              </w:rPr>
              <w:t>批准：张勇奇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.试验编号：HQ06003-PB202108000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9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设计强度等级：C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50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标准依据：JGJ55-2011    检验设备：数显压力试验机JYE- 2000等，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检验环境温度：21℃    养护方法：标养         坍落度（mm）：150-210 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原材料设计配合比(备注：配合比中的沙、石均为干燥状态的用量)：</w:t>
            </w:r>
          </w:p>
          <w:tbl>
            <w:tblPr>
              <w:tblStyle w:val="8"/>
              <w:tblW w:w="970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77"/>
              <w:gridCol w:w="647"/>
              <w:gridCol w:w="709"/>
              <w:gridCol w:w="851"/>
              <w:gridCol w:w="851"/>
              <w:gridCol w:w="991"/>
              <w:gridCol w:w="977"/>
              <w:gridCol w:w="977"/>
              <w:gridCol w:w="754"/>
              <w:gridCol w:w="553"/>
              <w:gridCol w:w="709"/>
              <w:gridCol w:w="7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77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jc w:val="left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每m³砼各材料用量（kg）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</w:t>
                  </w: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水泥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砂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石</w:t>
                  </w:r>
                </w:p>
              </w:tc>
              <w:tc>
                <w:tcPr>
                  <w:tcW w:w="99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掺合料1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掺合料</w:t>
                  </w:r>
                  <w:r>
                    <w:rPr>
                      <w:rFonts w:asciiTheme="minorEastAsia" w:hAnsiTheme="minorEastAsia" w:eastAsiaTheme="minorEastAsia" w:cstheme="minorEastAsia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外加剂1</w:t>
                  </w:r>
                </w:p>
              </w:tc>
              <w:tc>
                <w:tcPr>
                  <w:tcW w:w="754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水胶比</w:t>
                  </w:r>
                </w:p>
              </w:tc>
              <w:tc>
                <w:tcPr>
                  <w:tcW w:w="553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砂率%</w:t>
                  </w:r>
                </w:p>
              </w:tc>
              <w:tc>
                <w:tcPr>
                  <w:tcW w:w="1418" w:type="dxa"/>
                  <w:gridSpan w:val="2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抗压强度M</w:t>
                  </w:r>
                  <w:r>
                    <w:rPr>
                      <w:rFonts w:asciiTheme="minorEastAsia" w:hAnsiTheme="minorEastAsia" w:eastAsiaTheme="minorEastAsia" w:cstheme="minorEastAsia"/>
                      <w:sz w:val="18"/>
                      <w:szCs w:val="18"/>
                    </w:rPr>
                    <w:t>P</w:t>
                  </w: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545" w:hRule="atLeast"/>
              </w:trPr>
              <w:tc>
                <w:tcPr>
                  <w:tcW w:w="977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83</w:t>
                  </w: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435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738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945</w:t>
                  </w:r>
                </w:p>
              </w:tc>
              <w:tc>
                <w:tcPr>
                  <w:tcW w:w="99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38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6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5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16.14</w:t>
                  </w:r>
                </w:p>
              </w:tc>
              <w:tc>
                <w:tcPr>
                  <w:tcW w:w="754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553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7d</w:t>
                  </w: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8</w:t>
                  </w: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d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每包水泥配料用量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1.0</w:t>
                  </w: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5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8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4.8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08.6</w:t>
                  </w:r>
                </w:p>
              </w:tc>
              <w:tc>
                <w:tcPr>
                  <w:tcW w:w="99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4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.4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7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.5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1.9</w:t>
                  </w:r>
                </w:p>
              </w:tc>
              <w:tc>
                <w:tcPr>
                  <w:tcW w:w="754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0.34</w:t>
                  </w:r>
                </w:p>
              </w:tc>
              <w:tc>
                <w:tcPr>
                  <w:tcW w:w="553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44</w:t>
                  </w:r>
                </w:p>
              </w:tc>
              <w:tc>
                <w:tcPr>
                  <w:tcW w:w="709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48.7</w:t>
                  </w:r>
                </w:p>
              </w:tc>
              <w:tc>
                <w:tcPr>
                  <w:tcW w:w="709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5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9.1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重量</w:t>
                  </w:r>
                </w:p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配合比例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.42</w:t>
                  </w: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.7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.17</w:t>
                  </w:r>
                </w:p>
              </w:tc>
              <w:tc>
                <w:tcPr>
                  <w:tcW w:w="99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.087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.149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0.037</w:t>
                  </w:r>
                </w:p>
              </w:tc>
              <w:tc>
                <w:tcPr>
                  <w:tcW w:w="754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553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709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709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</w:tr>
          </w:tbl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试验：唐明      校核：王瑞瑞      批准：张勇奇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.试验编号：HQ06003-PB202108000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9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设计强度等级：C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30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膨胀    标准依据：JGJ55-2011    检验设备：数显压力试验机JYE- 2000等，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检验环境温度：2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℃    养护方法：标养         坍落度（mm）：150-210 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原材料设计配合比(备注：配合比中的沙、石均为干燥状态的用量)：</w:t>
            </w:r>
          </w:p>
          <w:tbl>
            <w:tblPr>
              <w:tblStyle w:val="8"/>
              <w:tblW w:w="9846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77"/>
              <w:gridCol w:w="647"/>
              <w:gridCol w:w="850"/>
              <w:gridCol w:w="851"/>
              <w:gridCol w:w="851"/>
              <w:gridCol w:w="991"/>
              <w:gridCol w:w="977"/>
              <w:gridCol w:w="977"/>
              <w:gridCol w:w="754"/>
              <w:gridCol w:w="553"/>
              <w:gridCol w:w="709"/>
              <w:gridCol w:w="7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977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jc w:val="left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每m³砼各材料用量（kg）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</w:t>
                  </w:r>
                </w:p>
              </w:tc>
              <w:tc>
                <w:tcPr>
                  <w:tcW w:w="850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水泥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砂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石</w:t>
                  </w:r>
                </w:p>
              </w:tc>
              <w:tc>
                <w:tcPr>
                  <w:tcW w:w="99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掺合料1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掺合料</w:t>
                  </w:r>
                  <w:r>
                    <w:rPr>
                      <w:rFonts w:asciiTheme="minorEastAsia" w:hAnsiTheme="minorEastAsia" w:eastAsiaTheme="minorEastAsia" w:cstheme="minorEastAsia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外加剂1</w:t>
                  </w:r>
                </w:p>
              </w:tc>
              <w:tc>
                <w:tcPr>
                  <w:tcW w:w="754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水胶比</w:t>
                  </w:r>
                </w:p>
              </w:tc>
              <w:tc>
                <w:tcPr>
                  <w:tcW w:w="553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砂率%</w:t>
                  </w:r>
                </w:p>
              </w:tc>
              <w:tc>
                <w:tcPr>
                  <w:tcW w:w="1418" w:type="dxa"/>
                  <w:gridSpan w:val="2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抗压强度M</w:t>
                  </w:r>
                  <w:r>
                    <w:rPr>
                      <w:rFonts w:asciiTheme="minorEastAsia" w:hAnsiTheme="minorEastAsia" w:eastAsiaTheme="minorEastAsia" w:cstheme="minorEastAsia"/>
                      <w:sz w:val="18"/>
                      <w:szCs w:val="18"/>
                    </w:rPr>
                    <w:t>P</w:t>
                  </w: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5" w:hRule="atLeast"/>
              </w:trPr>
              <w:tc>
                <w:tcPr>
                  <w:tcW w:w="977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87</w:t>
                  </w:r>
                </w:p>
              </w:tc>
              <w:tc>
                <w:tcPr>
                  <w:tcW w:w="850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280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890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865</w:t>
                  </w:r>
                </w:p>
              </w:tc>
              <w:tc>
                <w:tcPr>
                  <w:tcW w:w="99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60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60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32</w:t>
                  </w:r>
                </w:p>
              </w:tc>
              <w:tc>
                <w:tcPr>
                  <w:tcW w:w="754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553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7d</w:t>
                  </w: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8</w:t>
                  </w: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d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每包水泥配料用量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33.4</w:t>
                  </w:r>
                </w:p>
              </w:tc>
              <w:tc>
                <w:tcPr>
                  <w:tcW w:w="850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5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158.9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54.5</w:t>
                  </w:r>
                </w:p>
              </w:tc>
              <w:tc>
                <w:tcPr>
                  <w:tcW w:w="99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10.7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10.7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5.7</w:t>
                  </w:r>
                </w:p>
              </w:tc>
              <w:tc>
                <w:tcPr>
                  <w:tcW w:w="754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0.43</w:t>
                  </w:r>
                </w:p>
              </w:tc>
              <w:tc>
                <w:tcPr>
                  <w:tcW w:w="553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51</w:t>
                  </w:r>
                </w:p>
              </w:tc>
              <w:tc>
                <w:tcPr>
                  <w:tcW w:w="709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28.8</w:t>
                  </w:r>
                </w:p>
              </w:tc>
              <w:tc>
                <w:tcPr>
                  <w:tcW w:w="709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38.5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重量</w:t>
                  </w:r>
                </w:p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配合比例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0.67</w:t>
                  </w:r>
                </w:p>
              </w:tc>
              <w:tc>
                <w:tcPr>
                  <w:tcW w:w="850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3.18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3.09</w:t>
                  </w:r>
                </w:p>
              </w:tc>
              <w:tc>
                <w:tcPr>
                  <w:tcW w:w="99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0.214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.214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0.114</w:t>
                  </w:r>
                </w:p>
              </w:tc>
              <w:tc>
                <w:tcPr>
                  <w:tcW w:w="754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553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709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709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</w:tr>
          </w:tbl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试验：唐明      校核：王瑞瑞      批准：张勇奇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.试验编号：HQ06003-PB20210800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28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设计强度等级：C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35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水下砼    标准依据：JGJ55-2011    检验设备：数显压力试验机JYE- 2000等，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检验环境温度：2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℃    养护方法：标养         坍落度（mm）：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200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±30 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原材料设计配合比(备注：配合比中的沙、石均为干燥状态的用量)：</w:t>
            </w:r>
          </w:p>
          <w:tbl>
            <w:tblPr>
              <w:tblStyle w:val="8"/>
              <w:tblW w:w="787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77"/>
              <w:gridCol w:w="647"/>
              <w:gridCol w:w="850"/>
              <w:gridCol w:w="851"/>
              <w:gridCol w:w="851"/>
              <w:gridCol w:w="977"/>
              <w:gridCol w:w="754"/>
              <w:gridCol w:w="553"/>
              <w:gridCol w:w="709"/>
              <w:gridCol w:w="7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77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jc w:val="left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每m³砼各材料用量（kg）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</w:t>
                  </w:r>
                </w:p>
              </w:tc>
              <w:tc>
                <w:tcPr>
                  <w:tcW w:w="850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水泥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砂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石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外加剂1</w:t>
                  </w:r>
                </w:p>
              </w:tc>
              <w:tc>
                <w:tcPr>
                  <w:tcW w:w="754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水胶比</w:t>
                  </w:r>
                </w:p>
              </w:tc>
              <w:tc>
                <w:tcPr>
                  <w:tcW w:w="553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砂率%</w:t>
                  </w:r>
                </w:p>
              </w:tc>
              <w:tc>
                <w:tcPr>
                  <w:tcW w:w="1418" w:type="dxa"/>
                  <w:gridSpan w:val="2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抗压强度M</w:t>
                  </w:r>
                  <w:r>
                    <w:rPr>
                      <w:rFonts w:asciiTheme="minorEastAsia" w:hAnsiTheme="minorEastAsia" w:eastAsiaTheme="minorEastAsia" w:cstheme="minorEastAsia"/>
                      <w:sz w:val="18"/>
                      <w:szCs w:val="18"/>
                    </w:rPr>
                    <w:t>P</w:t>
                  </w: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545" w:hRule="atLeast"/>
              </w:trPr>
              <w:tc>
                <w:tcPr>
                  <w:tcW w:w="977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175</w:t>
                  </w:r>
                </w:p>
              </w:tc>
              <w:tc>
                <w:tcPr>
                  <w:tcW w:w="850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4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50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7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65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000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12.6</w:t>
                  </w:r>
                </w:p>
              </w:tc>
              <w:tc>
                <w:tcPr>
                  <w:tcW w:w="754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553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7d</w:t>
                  </w:r>
                </w:p>
              </w:tc>
              <w:tc>
                <w:tcPr>
                  <w:tcW w:w="709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8</w:t>
                  </w: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d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每包水泥配料用量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33.4</w:t>
                  </w:r>
                </w:p>
              </w:tc>
              <w:tc>
                <w:tcPr>
                  <w:tcW w:w="850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5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158.9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54.5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1.4</w:t>
                  </w:r>
                </w:p>
              </w:tc>
              <w:tc>
                <w:tcPr>
                  <w:tcW w:w="754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0.3</w:t>
                  </w:r>
                </w:p>
              </w:tc>
              <w:tc>
                <w:tcPr>
                  <w:tcW w:w="553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43</w:t>
                  </w:r>
                </w:p>
              </w:tc>
              <w:tc>
                <w:tcPr>
                  <w:tcW w:w="709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35.8</w:t>
                  </w:r>
                </w:p>
              </w:tc>
              <w:tc>
                <w:tcPr>
                  <w:tcW w:w="709" w:type="dxa"/>
                  <w:vMerge w:val="restart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45.6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rPr>
                      <w:rFonts w:asciiTheme="minorEastAsia" w:hAnsiTheme="minorEastAsia" w:eastAsiaTheme="minorEastAsia" w:cs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重量</w:t>
                  </w:r>
                </w:p>
                <w:p>
                  <w:pPr>
                    <w:numPr>
                      <w:ilvl w:val="3"/>
                      <w:numId w:val="0"/>
                    </w:numP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18"/>
                      <w:szCs w:val="18"/>
                    </w:rPr>
                    <w:t>配合比例</w:t>
                  </w:r>
                </w:p>
              </w:tc>
              <w:tc>
                <w:tcPr>
                  <w:tcW w:w="64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0.39</w:t>
                  </w:r>
                </w:p>
              </w:tc>
              <w:tc>
                <w:tcPr>
                  <w:tcW w:w="850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.7</w:t>
                  </w:r>
                </w:p>
              </w:tc>
              <w:tc>
                <w:tcPr>
                  <w:tcW w:w="851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.22</w:t>
                  </w:r>
                </w:p>
              </w:tc>
              <w:tc>
                <w:tcPr>
                  <w:tcW w:w="977" w:type="dxa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 w:eastAsiaTheme="minorEastAsia" w:cstheme="minorEastAsia"/>
                      <w:szCs w:val="21"/>
                    </w:rPr>
                    <w:t>.028</w:t>
                  </w:r>
                </w:p>
              </w:tc>
              <w:tc>
                <w:tcPr>
                  <w:tcW w:w="754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553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709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  <w:tc>
                <w:tcPr>
                  <w:tcW w:w="709" w:type="dxa"/>
                  <w:vMerge w:val="continue"/>
                </w:tcPr>
                <w:p>
                  <w:pPr>
                    <w:numPr>
                      <w:ilvl w:val="3"/>
                      <w:numId w:val="0"/>
                    </w:numPr>
                    <w:spacing w:line="360" w:lineRule="auto"/>
                    <w:rPr>
                      <w:rFonts w:hint="eastAsia" w:asciiTheme="minorEastAsia" w:hAnsiTheme="minorEastAsia" w:eastAsiaTheme="minorEastAsia" w:cstheme="minorEastAsia"/>
                      <w:szCs w:val="21"/>
                    </w:rPr>
                  </w:pPr>
                </w:p>
              </w:tc>
            </w:tr>
          </w:tbl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试验：唐明      校核：王瑞瑞      批准：张勇奇</w:t>
            </w:r>
          </w:p>
          <w:p>
            <w:pPr>
              <w:numPr>
                <w:ilvl w:val="3"/>
                <w:numId w:val="0"/>
              </w:numPr>
              <w:spacing w:line="360" w:lineRule="auto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szCs w:val="21"/>
              </w:rPr>
              <w:drawing>
                <wp:inline distT="0" distB="0" distL="0" distR="0">
                  <wp:extent cx="1983740" cy="1364615"/>
                  <wp:effectExtent l="0" t="304800" r="0" b="2927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0626" cy="136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drawing>
                <wp:inline distT="0" distB="0" distL="0" distR="0">
                  <wp:extent cx="1327150" cy="197358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76" b="4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755" cy="199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drawing>
                <wp:inline distT="0" distB="0" distL="0" distR="0">
                  <wp:extent cx="1352550" cy="197612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21" b="14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61" cy="19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drawing>
                <wp:inline distT="0" distB="0" distL="0" distR="0">
                  <wp:extent cx="1379220" cy="165036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85" b="8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03" cy="166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3"/>
                <w:numId w:val="0"/>
              </w:num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354" w:hanging="284" w:firstLineChars="0"/>
              <w:jc w:val="left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查原材料检验</w:t>
            </w:r>
            <w:r>
              <w:t>—</w:t>
            </w:r>
            <w:r>
              <w:rPr>
                <w:rFonts w:hint="eastAsia"/>
                <w:b/>
                <w:bCs/>
              </w:rPr>
              <w:t>查原材料试验报告。</w:t>
            </w:r>
          </w:p>
          <w:p>
            <w:pPr>
              <w:pStyle w:val="17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实验编号：H</w:t>
            </w:r>
            <w:r>
              <w:t xml:space="preserve">Q06003-SI2022010001 </w:t>
            </w:r>
            <w:r>
              <w:rPr>
                <w:rFonts w:hint="eastAsia"/>
              </w:rPr>
              <w:t xml:space="preserve">，样品名称：碎石 </w:t>
            </w:r>
            <w:r>
              <w:t xml:space="preserve"> </w:t>
            </w:r>
            <w:r>
              <w:rPr>
                <w:rFonts w:hint="eastAsia"/>
              </w:rPr>
              <w:t>类别：Ⅱ类，试验依据：G</w:t>
            </w:r>
            <w:r>
              <w:t>B/T14685-2011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55"/>
              <w:gridCol w:w="1560"/>
              <w:gridCol w:w="1701"/>
              <w:gridCol w:w="155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pPr>
                    <w:pStyle w:val="17"/>
                    <w:ind w:left="360" w:firstLine="0" w:firstLineChars="0"/>
                  </w:pPr>
                  <w:r>
                    <w:rPr>
                      <w:rFonts w:hint="eastAsia"/>
                    </w:rPr>
                    <w:t>试验项目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标准要求</w:t>
                  </w:r>
                </w:p>
              </w:tc>
              <w:tc>
                <w:tcPr>
                  <w:tcW w:w="1701" w:type="dxa"/>
                </w:tcPr>
                <w:p>
                  <w:r>
                    <w:rPr>
                      <w:rFonts w:hint="eastAsia"/>
                    </w:rPr>
                    <w:t>测定值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实验结论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/>
                    </w:rPr>
                    <w:t>含泥量（%）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≤</w:t>
                  </w:r>
                  <w:r>
                    <w:t>1.0</w:t>
                  </w:r>
                </w:p>
              </w:tc>
              <w:tc>
                <w:tcPr>
                  <w:tcW w:w="1701" w:type="dxa"/>
                </w:tcPr>
                <w:p>
                  <w:r>
                    <w:rPr>
                      <w:rFonts w:hint="eastAsia"/>
                    </w:rPr>
                    <w:t>0</w:t>
                  </w:r>
                  <w:r>
                    <w:t>.3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 w:ascii="宋体" w:hAnsi="宋体"/>
                    </w:rPr>
                    <w:t>泥块含量（%）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≤</w:t>
                  </w:r>
                  <w:r>
                    <w:t>0.2</w:t>
                  </w:r>
                </w:p>
              </w:tc>
              <w:tc>
                <w:tcPr>
                  <w:tcW w:w="1701" w:type="dxa"/>
                </w:tcPr>
                <w:p>
                  <w:r>
                    <w:rPr>
                      <w:rFonts w:hint="eastAsia"/>
                    </w:rPr>
                    <w:t>0</w:t>
                  </w:r>
                  <w:r>
                    <w:t>.1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 w:ascii="宋体" w:hAnsi="宋体"/>
                    </w:rPr>
                    <w:t>表观密度（kg</w:t>
                  </w:r>
                  <w:r>
                    <w:rPr>
                      <w:rFonts w:ascii="宋体" w:hAnsi="宋体"/>
                    </w:rPr>
                    <w:t>/</w:t>
                  </w:r>
                  <w:r>
                    <w:rPr>
                      <w:rFonts w:hint="eastAsia" w:ascii="宋体" w:hAnsi="宋体"/>
                    </w:rPr>
                    <w:t>m³）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≥</w:t>
                  </w:r>
                  <w:r>
                    <w:t>2600</w:t>
                  </w:r>
                </w:p>
              </w:tc>
              <w:tc>
                <w:tcPr>
                  <w:tcW w:w="1701" w:type="dxa"/>
                </w:tcPr>
                <w:p>
                  <w:r>
                    <w:rPr>
                      <w:rFonts w:hint="eastAsia"/>
                    </w:rPr>
                    <w:t>2</w:t>
                  </w:r>
                  <w:r>
                    <w:t>670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 w:ascii="宋体" w:hAnsi="宋体"/>
                    </w:rPr>
                    <w:t>堆积密度（kg</w:t>
                  </w:r>
                  <w:r>
                    <w:rPr>
                      <w:rFonts w:ascii="宋体" w:hAnsi="宋体"/>
                    </w:rPr>
                    <w:t>/</w:t>
                  </w:r>
                  <w:r>
                    <w:rPr>
                      <w:rFonts w:hint="eastAsia" w:ascii="宋体" w:hAnsi="宋体"/>
                    </w:rPr>
                    <w:t>m³）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≥</w:t>
                  </w:r>
                  <w:r>
                    <w:t>1400</w:t>
                  </w:r>
                </w:p>
              </w:tc>
              <w:tc>
                <w:tcPr>
                  <w:tcW w:w="1701" w:type="dxa"/>
                </w:tcPr>
                <w:p>
                  <w:r>
                    <w:rPr>
                      <w:rFonts w:hint="eastAsia"/>
                    </w:rPr>
                    <w:t>1</w:t>
                  </w:r>
                  <w:r>
                    <w:t>620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 w:ascii="宋体" w:hAnsi="宋体"/>
                    </w:rPr>
                    <w:t>针片状含量（%）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≤</w:t>
                  </w:r>
                  <w:r>
                    <w:t>10</w:t>
                  </w:r>
                </w:p>
              </w:tc>
              <w:tc>
                <w:tcPr>
                  <w:tcW w:w="1701" w:type="dxa"/>
                </w:tcPr>
                <w:p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pPr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压碎指标（%）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≤</w:t>
                  </w:r>
                  <w:r>
                    <w:t>20</w:t>
                  </w:r>
                </w:p>
              </w:tc>
              <w:tc>
                <w:tcPr>
                  <w:tcW w:w="1701" w:type="dxa"/>
                </w:tcPr>
                <w:p>
                  <w:r>
                    <w:rPr>
                      <w:rFonts w:hint="eastAsia"/>
                    </w:rPr>
                    <w:t>8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pPr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颗粒级配试验</w:t>
                  </w:r>
                </w:p>
              </w:tc>
              <w:tc>
                <w:tcPr>
                  <w:tcW w:w="4820" w:type="dxa"/>
                  <w:gridSpan w:val="3"/>
                </w:tcPr>
                <w:p>
                  <w:r>
                    <w:rPr>
                      <w:rFonts w:hint="eastAsia"/>
                    </w:rPr>
                    <w:t>……</w:t>
                  </w:r>
                </w:p>
              </w:tc>
            </w:tr>
          </w:tbl>
          <w:p>
            <w:r>
              <w:rPr>
                <w:rFonts w:hint="eastAsia"/>
              </w:rPr>
              <w:t>检验结论：该样品经检验，所检指标符合G</w:t>
            </w:r>
            <w:r>
              <w:t>B/T14685-2011</w:t>
            </w:r>
            <w:r>
              <w:rPr>
                <w:rFonts w:hint="eastAsia"/>
              </w:rPr>
              <w:t>标准要求。</w:t>
            </w:r>
          </w:p>
          <w:p>
            <w:pPr>
              <w:rPr>
                <w:b/>
                <w:bCs/>
              </w:rPr>
            </w:pPr>
            <w:r>
              <w:rPr>
                <w:rFonts w:hint="eastAsia"/>
              </w:rPr>
              <w:t xml:space="preserve">试验：漆世芝 </w:t>
            </w:r>
            <w:r>
              <w:t xml:space="preserve">                </w:t>
            </w:r>
            <w:r>
              <w:rPr>
                <w:rFonts w:hint="eastAsia"/>
              </w:rPr>
              <w:t xml:space="preserve">校准：王瑞瑞 </w:t>
            </w:r>
            <w:r>
              <w:t xml:space="preserve">            </w:t>
            </w:r>
            <w:r>
              <w:rPr>
                <w:rFonts w:hint="eastAsia"/>
              </w:rPr>
              <w:t>批准：张勇奇</w:t>
            </w:r>
          </w:p>
          <w:p>
            <w:r>
              <w:t xml:space="preserve"> </w:t>
            </w:r>
          </w:p>
          <w:p>
            <w:pPr>
              <w:pStyle w:val="17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实验编号：H</w:t>
            </w:r>
            <w:r>
              <w:t xml:space="preserve">Q06003-SA2022010003 </w:t>
            </w:r>
            <w:r>
              <w:rPr>
                <w:rFonts w:hint="eastAsia"/>
              </w:rPr>
              <w:t xml:space="preserve">，样品名称：机制砂 </w:t>
            </w:r>
            <w:r>
              <w:t xml:space="preserve"> </w:t>
            </w:r>
            <w:r>
              <w:rPr>
                <w:rFonts w:hint="eastAsia"/>
              </w:rPr>
              <w:t>类别：中砂，试验依据：G</w:t>
            </w:r>
            <w:r>
              <w:t>B/T14684-2011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55"/>
              <w:gridCol w:w="1560"/>
              <w:gridCol w:w="1701"/>
              <w:gridCol w:w="155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pPr>
                    <w:pStyle w:val="17"/>
                    <w:ind w:left="360" w:firstLine="0" w:firstLineChars="0"/>
                  </w:pPr>
                  <w:r>
                    <w:rPr>
                      <w:rFonts w:hint="eastAsia"/>
                    </w:rPr>
                    <w:t>试验项目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标准要求</w:t>
                  </w:r>
                </w:p>
              </w:tc>
              <w:tc>
                <w:tcPr>
                  <w:tcW w:w="1701" w:type="dxa"/>
                </w:tcPr>
                <w:p>
                  <w:r>
                    <w:rPr>
                      <w:rFonts w:hint="eastAsia"/>
                    </w:rPr>
                    <w:t>测定值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实验结论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pPr>
                    <w:pStyle w:val="17"/>
                    <w:ind w:left="360" w:firstLine="0" w:firstLineChars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M</w:t>
                  </w:r>
                  <w:r>
                    <w:t>B</w:t>
                  </w:r>
                  <w:r>
                    <w:rPr>
                      <w:rFonts w:hint="eastAsia"/>
                    </w:rPr>
                    <w:t>值</w:t>
                  </w:r>
                </w:p>
              </w:tc>
              <w:tc>
                <w:tcPr>
                  <w:tcW w:w="1560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≤</w:t>
                  </w:r>
                  <w:r>
                    <w:t>1.0</w:t>
                  </w:r>
                </w:p>
              </w:tc>
              <w:tc>
                <w:tcPr>
                  <w:tcW w:w="1701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0</w:t>
                  </w:r>
                  <w:r>
                    <w:t>.3</w:t>
                  </w:r>
                </w:p>
              </w:tc>
              <w:tc>
                <w:tcPr>
                  <w:tcW w:w="1559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/>
                    </w:rPr>
                    <w:t>石粉含量（%）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≤</w:t>
                  </w:r>
                  <w:r>
                    <w:t>10.0</w:t>
                  </w:r>
                </w:p>
              </w:tc>
              <w:tc>
                <w:tcPr>
                  <w:tcW w:w="1701" w:type="dxa"/>
                </w:tcPr>
                <w:p>
                  <w:r>
                    <w:t>5.7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 w:ascii="宋体" w:hAnsi="宋体"/>
                    </w:rPr>
                    <w:t>泥块含量（%）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≤</w:t>
                  </w:r>
                  <w:r>
                    <w:t>1.0</w:t>
                  </w:r>
                </w:p>
              </w:tc>
              <w:tc>
                <w:tcPr>
                  <w:tcW w:w="1701" w:type="dxa"/>
                </w:tcPr>
                <w:p>
                  <w:r>
                    <w:t>0.0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 w:ascii="宋体" w:hAnsi="宋体"/>
                    </w:rPr>
                    <w:t>表观密度（kg</w:t>
                  </w:r>
                  <w:r>
                    <w:rPr>
                      <w:rFonts w:ascii="宋体" w:hAnsi="宋体"/>
                    </w:rPr>
                    <w:t>/</w:t>
                  </w:r>
                  <w:r>
                    <w:rPr>
                      <w:rFonts w:hint="eastAsia" w:ascii="宋体" w:hAnsi="宋体"/>
                    </w:rPr>
                    <w:t>m³）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≥</w:t>
                  </w:r>
                  <w:r>
                    <w:t>2500</w:t>
                  </w:r>
                </w:p>
              </w:tc>
              <w:tc>
                <w:tcPr>
                  <w:tcW w:w="1701" w:type="dxa"/>
                </w:tcPr>
                <w:p>
                  <w:r>
                    <w:rPr>
                      <w:rFonts w:hint="eastAsia"/>
                    </w:rPr>
                    <w:t>2</w:t>
                  </w:r>
                  <w:r>
                    <w:t>660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 w:ascii="宋体" w:hAnsi="宋体"/>
                    </w:rPr>
                    <w:t>堆积密度（kg</w:t>
                  </w:r>
                  <w:r>
                    <w:rPr>
                      <w:rFonts w:ascii="宋体" w:hAnsi="宋体"/>
                    </w:rPr>
                    <w:t>/</w:t>
                  </w:r>
                  <w:r>
                    <w:rPr>
                      <w:rFonts w:hint="eastAsia" w:ascii="宋体" w:hAnsi="宋体"/>
                    </w:rPr>
                    <w:t>m³）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≥</w:t>
                  </w:r>
                  <w:r>
                    <w:t>1400</w:t>
                  </w:r>
                </w:p>
              </w:tc>
              <w:tc>
                <w:tcPr>
                  <w:tcW w:w="1701" w:type="dxa"/>
                </w:tcPr>
                <w:p>
                  <w:r>
                    <w:rPr>
                      <w:rFonts w:hint="eastAsia"/>
                    </w:rPr>
                    <w:t>1</w:t>
                  </w:r>
                  <w:r>
                    <w:t>470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pPr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颗粒级配试验</w:t>
                  </w:r>
                </w:p>
              </w:tc>
              <w:tc>
                <w:tcPr>
                  <w:tcW w:w="4820" w:type="dxa"/>
                  <w:gridSpan w:val="3"/>
                </w:tcPr>
                <w:p>
                  <w:r>
                    <w:rPr>
                      <w:rFonts w:hint="eastAsia"/>
                    </w:rPr>
                    <w:t>……</w:t>
                  </w:r>
                </w:p>
              </w:tc>
            </w:tr>
          </w:tbl>
          <w:p>
            <w:r>
              <w:rPr>
                <w:rFonts w:hint="eastAsia"/>
              </w:rPr>
              <w:t>检验结论：该样品经检验，所检指标符合G</w:t>
            </w:r>
            <w:r>
              <w:t>B/T14684-2011</w:t>
            </w:r>
            <w:r>
              <w:rPr>
                <w:rFonts w:hint="eastAsia"/>
              </w:rPr>
              <w:t>标准要求。</w:t>
            </w:r>
          </w:p>
          <w:p>
            <w:r>
              <w:rPr>
                <w:rFonts w:hint="eastAsia"/>
              </w:rPr>
              <w:t xml:space="preserve">试验：漆世芝 </w:t>
            </w:r>
            <w:r>
              <w:t xml:space="preserve">                </w:t>
            </w:r>
            <w:r>
              <w:rPr>
                <w:rFonts w:hint="eastAsia"/>
              </w:rPr>
              <w:t>校准：王瑞瑞</w:t>
            </w:r>
            <w:r>
              <w:t xml:space="preserve">            </w:t>
            </w:r>
            <w:r>
              <w:rPr>
                <w:rFonts w:hint="eastAsia"/>
              </w:rPr>
              <w:t>批准：张勇奇</w:t>
            </w:r>
          </w:p>
          <w:p>
            <w:pPr>
              <w:rPr>
                <w:b/>
                <w:bCs/>
              </w:rPr>
            </w:pPr>
          </w:p>
          <w:p>
            <w:pPr>
              <w:pStyle w:val="17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实验编号：H</w:t>
            </w:r>
            <w:r>
              <w:t xml:space="preserve">Q06003-CH2021120010 </w:t>
            </w:r>
            <w:r>
              <w:rPr>
                <w:rFonts w:hint="eastAsia"/>
              </w:rPr>
              <w:t xml:space="preserve">，样品名称：粉煤灰 </w:t>
            </w:r>
            <w:r>
              <w:t xml:space="preserve"> </w:t>
            </w:r>
            <w:r>
              <w:rPr>
                <w:rFonts w:hint="eastAsia"/>
              </w:rPr>
              <w:t>类别：Ⅱ类，试验依据：G</w:t>
            </w:r>
            <w:r>
              <w:t>B/T1596-2017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682"/>
              <w:gridCol w:w="1559"/>
              <w:gridCol w:w="99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682" w:type="dxa"/>
                </w:tcPr>
                <w:p>
                  <w:pPr>
                    <w:pStyle w:val="17"/>
                    <w:ind w:left="360" w:firstLine="0" w:firstLineChars="0"/>
                  </w:pPr>
                  <w:r>
                    <w:rPr>
                      <w:rFonts w:hint="eastAsia"/>
                    </w:rPr>
                    <w:t>试验项目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指标值</w:t>
                  </w:r>
                </w:p>
              </w:tc>
              <w:tc>
                <w:tcPr>
                  <w:tcW w:w="993" w:type="dxa"/>
                </w:tcPr>
                <w:p>
                  <w:r>
                    <w:rPr>
                      <w:rFonts w:hint="eastAsia"/>
                    </w:rPr>
                    <w:t>试验值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682" w:type="dxa"/>
                </w:tcPr>
                <w:p>
                  <w:pPr>
                    <w:pStyle w:val="17"/>
                    <w:ind w:left="360" w:firstLine="0" w:firstLineChars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细度（0</w:t>
                  </w:r>
                  <w:r>
                    <w:t>.045</w:t>
                  </w:r>
                  <w:r>
                    <w:rPr>
                      <w:rFonts w:hint="eastAsia"/>
                    </w:rPr>
                    <w:t>mm方孔筛筛余）%</w:t>
                  </w:r>
                </w:p>
              </w:tc>
              <w:tc>
                <w:tcPr>
                  <w:tcW w:w="1559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≤</w:t>
                  </w:r>
                  <w:r>
                    <w:t>30</w:t>
                  </w:r>
                </w:p>
              </w:tc>
              <w:tc>
                <w:tcPr>
                  <w:tcW w:w="993" w:type="dxa"/>
                </w:tcPr>
                <w:p>
                  <w:pPr>
                    <w:rPr>
                      <w:rFonts w:hint="eastAsia"/>
                    </w:rPr>
                  </w:pPr>
                  <w:r>
                    <w:t>20.9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682" w:type="dxa"/>
                </w:tcPr>
                <w:p>
                  <w:r>
                    <w:rPr>
                      <w:rFonts w:hint="eastAsia"/>
                    </w:rPr>
                    <w:t>需水量比 %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≤</w:t>
                  </w:r>
                  <w:r>
                    <w:t>105</w:t>
                  </w:r>
                </w:p>
              </w:tc>
              <w:tc>
                <w:tcPr>
                  <w:tcW w:w="993" w:type="dxa"/>
                </w:tcPr>
                <w:p>
                  <w:r>
                    <w:t>101.0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682" w:type="dxa"/>
                </w:tcPr>
                <w:p>
                  <w:r>
                    <w:rPr>
                      <w:rFonts w:hint="eastAsia" w:ascii="宋体" w:hAnsi="宋体"/>
                    </w:rPr>
                    <w:t xml:space="preserve">烧失量 </w:t>
                  </w:r>
                  <w:r>
                    <w:rPr>
                      <w:rFonts w:ascii="宋体" w:hAnsi="宋体"/>
                    </w:rPr>
                    <w:t>%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≤8</w:t>
                  </w:r>
                </w:p>
              </w:tc>
              <w:tc>
                <w:tcPr>
                  <w:tcW w:w="993" w:type="dxa"/>
                </w:tcPr>
                <w:p>
                  <w:r>
                    <w:rPr>
                      <w:rFonts w:hint="eastAsia"/>
                    </w:rPr>
                    <w:t>3</w:t>
                  </w:r>
                  <w:r>
                    <w:t>.0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682" w:type="dxa"/>
                </w:tcPr>
                <w:p>
                  <w:r>
                    <w:rPr>
                      <w:rFonts w:hint="eastAsia" w:ascii="宋体" w:hAnsi="宋体"/>
                    </w:rPr>
                    <w:t xml:space="preserve">含水率量 </w:t>
                  </w:r>
                  <w:r>
                    <w:rPr>
                      <w:rFonts w:ascii="宋体" w:hAnsi="宋体"/>
                    </w:rPr>
                    <w:t>%</w:t>
                  </w:r>
                </w:p>
              </w:tc>
              <w:tc>
                <w:tcPr>
                  <w:tcW w:w="1559" w:type="dxa"/>
                </w:tcPr>
                <w:p>
                  <w:r>
                    <w:rPr>
                      <w:rFonts w:hint="eastAsia"/>
                    </w:rPr>
                    <w:t>≤</w:t>
                  </w:r>
                  <w:r>
                    <w:t>1</w:t>
                  </w:r>
                </w:p>
              </w:tc>
              <w:tc>
                <w:tcPr>
                  <w:tcW w:w="993" w:type="dxa"/>
                </w:tcPr>
                <w:p>
                  <w:r>
                    <w:t>0.4</w:t>
                  </w:r>
                </w:p>
              </w:tc>
            </w:tr>
          </w:tbl>
          <w:p>
            <w:r>
              <w:rPr>
                <w:rFonts w:hint="eastAsia"/>
              </w:rPr>
              <w:t>检验结论：该样品经检验，所检指标符合G</w:t>
            </w:r>
            <w:r>
              <w:t>B/T1596-20171</w:t>
            </w:r>
            <w:r>
              <w:rPr>
                <w:rFonts w:hint="eastAsia"/>
              </w:rPr>
              <w:t>标准要求。</w:t>
            </w:r>
          </w:p>
          <w:p>
            <w:r>
              <w:rPr>
                <w:rFonts w:hint="eastAsia"/>
              </w:rPr>
              <w:t xml:space="preserve">试验：漆世芝 </w:t>
            </w:r>
            <w:r>
              <w:t xml:space="preserve">                </w:t>
            </w:r>
            <w:r>
              <w:rPr>
                <w:rFonts w:hint="eastAsia"/>
              </w:rPr>
              <w:t>校准：王瑞瑞</w:t>
            </w:r>
            <w:r>
              <w:t xml:space="preserve">            </w:t>
            </w:r>
            <w:r>
              <w:rPr>
                <w:rFonts w:hint="eastAsia"/>
              </w:rPr>
              <w:t>批准：张勇奇</w:t>
            </w:r>
          </w:p>
          <w:p>
            <w:pPr>
              <w:rPr>
                <w:rFonts w:hint="eastAsia"/>
              </w:rPr>
            </w:pPr>
          </w:p>
          <w:p>
            <w:pPr>
              <w:pStyle w:val="17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实验编号：H</w:t>
            </w:r>
            <w:r>
              <w:t xml:space="preserve">Q06003-WJJ2021010003 </w:t>
            </w:r>
            <w:r>
              <w:rPr>
                <w:rFonts w:hint="eastAsia"/>
              </w:rPr>
              <w:t xml:space="preserve">，样品名称：聚羧酸减水剂 </w:t>
            </w:r>
            <w:r>
              <w:t xml:space="preserve"> </w:t>
            </w:r>
            <w:r>
              <w:rPr>
                <w:rFonts w:hint="eastAsia"/>
              </w:rPr>
              <w:t>类别：J</w:t>
            </w:r>
            <w:r>
              <w:t xml:space="preserve">SS-BM-A01 </w:t>
            </w:r>
            <w:r>
              <w:rPr>
                <w:rFonts w:hint="eastAsia"/>
              </w:rPr>
              <w:t>，</w:t>
            </w:r>
          </w:p>
          <w:p>
            <w:pPr>
              <w:pStyle w:val="17"/>
              <w:ind w:left="360" w:firstLine="0" w:firstLineChars="0"/>
            </w:pPr>
            <w:r>
              <w:rPr>
                <w:rFonts w:hint="eastAsia"/>
              </w:rPr>
              <w:t>试验依据：G</w:t>
            </w:r>
            <w:r>
              <w:t>B/T1596-2017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55"/>
              <w:gridCol w:w="3686"/>
              <w:gridCol w:w="99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pPr>
                    <w:pStyle w:val="17"/>
                    <w:ind w:left="360" w:firstLine="0" w:firstLineChars="0"/>
                  </w:pPr>
                  <w:r>
                    <w:rPr>
                      <w:rFonts w:hint="eastAsia"/>
                    </w:rPr>
                    <w:t>试验项目</w:t>
                  </w:r>
                </w:p>
              </w:tc>
              <w:tc>
                <w:tcPr>
                  <w:tcW w:w="3686" w:type="dxa"/>
                </w:tcPr>
                <w:p>
                  <w:r>
                    <w:rPr>
                      <w:rFonts w:hint="eastAsia"/>
                    </w:rPr>
                    <w:t>指标值</w:t>
                  </w:r>
                </w:p>
              </w:tc>
              <w:tc>
                <w:tcPr>
                  <w:tcW w:w="993" w:type="dxa"/>
                </w:tcPr>
                <w:p>
                  <w:r>
                    <w:rPr>
                      <w:rFonts w:hint="eastAsia"/>
                    </w:rPr>
                    <w:t>试验值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pPr>
                    <w:pStyle w:val="17"/>
                    <w:ind w:left="360" w:firstLine="0" w:firstLineChars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固含量 </w:t>
                  </w:r>
                  <w:r>
                    <w:t>%</w:t>
                  </w:r>
                </w:p>
              </w:tc>
              <w:tc>
                <w:tcPr>
                  <w:tcW w:w="3686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6</w:t>
                  </w:r>
                  <w:r>
                    <w:t>.00</w:t>
                  </w:r>
                  <w:r>
                    <w:rPr>
                      <w:rFonts w:hint="eastAsia"/>
                    </w:rPr>
                    <w:t>±1</w:t>
                  </w:r>
                  <w:r>
                    <w:t>.00</w:t>
                  </w:r>
                  <w:r>
                    <w:rPr>
                      <w:rFonts w:hint="eastAsia"/>
                    </w:rPr>
                    <w:t>（厂控）</w:t>
                  </w:r>
                </w:p>
              </w:tc>
              <w:tc>
                <w:tcPr>
                  <w:tcW w:w="993" w:type="dxa"/>
                </w:tcPr>
                <w:p>
                  <w:pPr>
                    <w:rPr>
                      <w:rFonts w:hint="eastAsia"/>
                    </w:rPr>
                  </w:pPr>
                  <w:r>
                    <w:t>5.9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/>
                    </w:rPr>
                    <w:t>密度 g/cm³</w:t>
                  </w:r>
                </w:p>
              </w:tc>
              <w:tc>
                <w:tcPr>
                  <w:tcW w:w="3686" w:type="dxa"/>
                </w:tcPr>
                <w:p>
                  <w:r>
                    <w:t>1.012</w:t>
                  </w:r>
                  <w:r>
                    <w:rPr>
                      <w:rFonts w:hint="eastAsia"/>
                    </w:rPr>
                    <w:t>±</w:t>
                  </w:r>
                  <w:r>
                    <w:t>0.02</w:t>
                  </w:r>
                  <w:r>
                    <w:rPr>
                      <w:rFonts w:hint="eastAsia"/>
                    </w:rPr>
                    <w:t>（厂控）</w:t>
                  </w:r>
                </w:p>
              </w:tc>
              <w:tc>
                <w:tcPr>
                  <w:tcW w:w="993" w:type="dxa"/>
                </w:tcPr>
                <w:p>
                  <w:r>
                    <w:t>1.0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 w:ascii="宋体" w:hAnsi="宋体"/>
                    </w:rPr>
                    <w:t>净浆流动度 mm</w:t>
                  </w:r>
                </w:p>
              </w:tc>
              <w:tc>
                <w:tcPr>
                  <w:tcW w:w="3686" w:type="dxa"/>
                </w:tcPr>
                <w:p>
                  <w:r>
                    <w:rPr>
                      <w:rFonts w:hint="eastAsia"/>
                    </w:rPr>
                    <w:t xml:space="preserve">≥ </w:t>
                  </w:r>
                  <w:r>
                    <w:t>240</w:t>
                  </w:r>
                  <w:r>
                    <w:rPr>
                      <w:rFonts w:hint="eastAsia"/>
                    </w:rPr>
                    <w:t>（W</w:t>
                  </w:r>
                  <w:r>
                    <w:t>/C=0.29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993" w:type="dxa"/>
                </w:tcPr>
                <w:p>
                  <w:r>
                    <w:t>250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5" w:type="dxa"/>
                </w:tcPr>
                <w:p>
                  <w:r>
                    <w:rPr>
                      <w:rFonts w:hint="eastAsia" w:ascii="宋体" w:hAnsi="宋体"/>
                    </w:rPr>
                    <w:t xml:space="preserve">减水率 </w:t>
                  </w:r>
                  <w:r>
                    <w:rPr>
                      <w:rFonts w:ascii="宋体" w:hAnsi="宋体"/>
                    </w:rPr>
                    <w:t>%</w:t>
                  </w:r>
                </w:p>
              </w:tc>
              <w:tc>
                <w:tcPr>
                  <w:tcW w:w="3686" w:type="dxa"/>
                </w:tcPr>
                <w:p>
                  <w:r>
                    <w:rPr>
                      <w:rFonts w:hint="eastAsia"/>
                    </w:rPr>
                    <w:t>2</w:t>
                  </w:r>
                  <w:r>
                    <w:t>0-30</w:t>
                  </w:r>
                </w:p>
              </w:tc>
              <w:tc>
                <w:tcPr>
                  <w:tcW w:w="993" w:type="dxa"/>
                </w:tcPr>
                <w:p>
                  <w:r>
                    <w:t>26</w:t>
                  </w:r>
                </w:p>
              </w:tc>
            </w:tr>
          </w:tbl>
          <w:p>
            <w:r>
              <w:rPr>
                <w:rFonts w:hint="eastAsia"/>
              </w:rPr>
              <w:t>检验结论：该样品经检验，所检指标符合G</w:t>
            </w:r>
            <w:r>
              <w:t>B/T1596-2017</w:t>
            </w:r>
            <w:r>
              <w:rPr>
                <w:rFonts w:hint="eastAsia"/>
              </w:rPr>
              <w:t>标准要求。</w:t>
            </w:r>
          </w:p>
          <w:p>
            <w:r>
              <w:rPr>
                <w:rFonts w:hint="eastAsia"/>
              </w:rPr>
              <w:t xml:space="preserve">试验：漆世芝 </w:t>
            </w:r>
            <w:r>
              <w:t xml:space="preserve">                </w:t>
            </w:r>
            <w:r>
              <w:rPr>
                <w:rFonts w:hint="eastAsia"/>
              </w:rPr>
              <w:t>校准：王瑞瑞</w:t>
            </w:r>
            <w:r>
              <w:t xml:space="preserve">            </w:t>
            </w:r>
            <w:r>
              <w:rPr>
                <w:rFonts w:hint="eastAsia"/>
              </w:rPr>
              <w:t>批准：张勇奇</w:t>
            </w:r>
          </w:p>
          <w:p>
            <w:pPr>
              <w:rPr>
                <w:rFonts w:hint="eastAsia"/>
              </w:rPr>
            </w:pPr>
          </w:p>
          <w:p>
            <w:pPr>
              <w:pStyle w:val="17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实验编号：H</w:t>
            </w:r>
            <w:r>
              <w:t xml:space="preserve">Q06003-SN2021110020 </w:t>
            </w:r>
            <w:r>
              <w:rPr>
                <w:rFonts w:hint="eastAsia"/>
              </w:rPr>
              <w:t xml:space="preserve">，样品名称：普通硅酸盐水泥， </w:t>
            </w:r>
            <w:r>
              <w:t xml:space="preserve"> </w:t>
            </w:r>
            <w:r>
              <w:rPr>
                <w:rFonts w:hint="eastAsia"/>
              </w:rPr>
              <w:t>强度等级：4</w:t>
            </w:r>
            <w:r>
              <w:t>2.5</w:t>
            </w:r>
            <w:r>
              <w:rPr>
                <w:rFonts w:hint="eastAsia"/>
              </w:rPr>
              <w:t>，</w:t>
            </w:r>
          </w:p>
          <w:p>
            <w:pPr>
              <w:pStyle w:val="17"/>
              <w:ind w:left="360" w:firstLine="0" w:firstLineChars="0"/>
            </w:pPr>
            <w:r>
              <w:rPr>
                <w:rFonts w:hint="eastAsia"/>
              </w:rPr>
              <w:t>试验依据：G</w:t>
            </w:r>
            <w:r>
              <w:t>B175-2007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406"/>
              <w:gridCol w:w="2835"/>
              <w:gridCol w:w="99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06" w:type="dxa"/>
                </w:tcPr>
                <w:p>
                  <w:pPr>
                    <w:pStyle w:val="17"/>
                    <w:ind w:left="360" w:firstLine="0" w:firstLineChars="0"/>
                  </w:pPr>
                  <w:r>
                    <w:rPr>
                      <w:rFonts w:hint="eastAsia"/>
                    </w:rPr>
                    <w:t>试验项目</w:t>
                  </w:r>
                </w:p>
              </w:tc>
              <w:tc>
                <w:tcPr>
                  <w:tcW w:w="2835" w:type="dxa"/>
                </w:tcPr>
                <w:p>
                  <w:r>
                    <w:rPr>
                      <w:rFonts w:hint="eastAsia"/>
                    </w:rPr>
                    <w:t>指标值</w:t>
                  </w:r>
                </w:p>
              </w:tc>
              <w:tc>
                <w:tcPr>
                  <w:tcW w:w="993" w:type="dxa"/>
                </w:tcPr>
                <w:p>
                  <w:r>
                    <w:rPr>
                      <w:rFonts w:hint="eastAsia"/>
                    </w:rPr>
                    <w:t>试验值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06" w:type="dxa"/>
                </w:tcPr>
                <w:p>
                  <w:pPr>
                    <w:pStyle w:val="17"/>
                    <w:ind w:left="360" w:firstLine="0" w:firstLineChars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比表面积 ㎡/kg</w:t>
                  </w:r>
                </w:p>
              </w:tc>
              <w:tc>
                <w:tcPr>
                  <w:tcW w:w="2835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≥3</w:t>
                  </w:r>
                  <w:r>
                    <w:t>00</w:t>
                  </w:r>
                </w:p>
              </w:tc>
              <w:tc>
                <w:tcPr>
                  <w:tcW w:w="993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3</w:t>
                  </w:r>
                  <w:r>
                    <w:t>67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06" w:type="dxa"/>
                </w:tcPr>
                <w:p>
                  <w:r>
                    <w:rPr>
                      <w:rFonts w:hint="eastAsia"/>
                    </w:rPr>
                    <w:t>初凝时间 min</w:t>
                  </w:r>
                </w:p>
              </w:tc>
              <w:tc>
                <w:tcPr>
                  <w:tcW w:w="2835" w:type="dxa"/>
                </w:tcPr>
                <w:p>
                  <w:r>
                    <w:rPr>
                      <w:rFonts w:hint="eastAsia"/>
                    </w:rPr>
                    <w:t>≥</w:t>
                  </w:r>
                  <w:r>
                    <w:t>45</w:t>
                  </w:r>
                </w:p>
              </w:tc>
              <w:tc>
                <w:tcPr>
                  <w:tcW w:w="993" w:type="dxa"/>
                </w:tcPr>
                <w:p>
                  <w:r>
                    <w:t>220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3406" w:type="dxa"/>
                </w:tcPr>
                <w:p>
                  <w:r>
                    <w:rPr>
                      <w:rFonts w:hint="eastAsia"/>
                    </w:rPr>
                    <w:t>终凝时间 min</w:t>
                  </w:r>
                </w:p>
              </w:tc>
              <w:tc>
                <w:tcPr>
                  <w:tcW w:w="2835" w:type="dxa"/>
                </w:tcPr>
                <w:p>
                  <w:r>
                    <w:rPr>
                      <w:rFonts w:hint="eastAsia"/>
                    </w:rPr>
                    <w:t>≤6</w:t>
                  </w:r>
                  <w:r>
                    <w:t>00</w:t>
                  </w:r>
                </w:p>
              </w:tc>
              <w:tc>
                <w:tcPr>
                  <w:tcW w:w="993" w:type="dxa"/>
                </w:tcPr>
                <w:p>
                  <w:r>
                    <w:t>280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06" w:type="dxa"/>
                </w:tcPr>
                <w:p>
                  <w:r>
                    <w:rPr>
                      <w:rFonts w:hint="eastAsia" w:ascii="宋体" w:hAnsi="宋体"/>
                    </w:rPr>
                    <w:t>安定性（雷氏法）mm</w:t>
                  </w:r>
                </w:p>
              </w:tc>
              <w:tc>
                <w:tcPr>
                  <w:tcW w:w="2835" w:type="dxa"/>
                </w:tcPr>
                <w:p>
                  <w:r>
                    <w:rPr>
                      <w:rFonts w:hint="eastAsia"/>
                    </w:rPr>
                    <w:t>≤</w:t>
                  </w:r>
                  <w:r>
                    <w:t>5</w:t>
                  </w:r>
                </w:p>
              </w:tc>
              <w:tc>
                <w:tcPr>
                  <w:tcW w:w="993" w:type="dxa"/>
                </w:tcPr>
                <w:p>
                  <w:r>
                    <w:rPr>
                      <w:rFonts w:hint="eastAsia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06" w:type="dxa"/>
                </w:tcPr>
                <w:p>
                  <w:pPr>
                    <w:rPr>
                      <w:rFonts w:hint="eastAsia"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3d</w:t>
                  </w:r>
                  <w:r>
                    <w:rPr>
                      <w:rFonts w:ascii="宋体" w:hAnsi="宋体"/>
                    </w:rPr>
                    <w:t xml:space="preserve"> </w:t>
                  </w:r>
                  <w:r>
                    <w:rPr>
                      <w:rFonts w:hint="eastAsia" w:ascii="宋体" w:hAnsi="宋体"/>
                    </w:rPr>
                    <w:t xml:space="preserve">单块试件抗折强度值 </w:t>
                  </w:r>
                  <w:r>
                    <w:rPr>
                      <w:rFonts w:ascii="宋体" w:hAnsi="宋体"/>
                    </w:rPr>
                    <w:t>MP</w:t>
                  </w:r>
                  <w:r>
                    <w:rPr>
                      <w:rFonts w:hint="eastAsia" w:ascii="宋体" w:hAnsi="宋体"/>
                    </w:rPr>
                    <w:t>a</w:t>
                  </w:r>
                </w:p>
              </w:tc>
              <w:tc>
                <w:tcPr>
                  <w:tcW w:w="2835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≥3</w:t>
                  </w:r>
                  <w:r>
                    <w:t>.5</w:t>
                  </w:r>
                </w:p>
              </w:tc>
              <w:tc>
                <w:tcPr>
                  <w:tcW w:w="993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5</w:t>
                  </w:r>
                  <w:r>
                    <w:t>.9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06" w:type="dxa"/>
                </w:tcPr>
                <w:p>
                  <w:pPr>
                    <w:rPr>
                      <w:rFonts w:hint="eastAsia"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……</w:t>
                  </w:r>
                </w:p>
              </w:tc>
              <w:tc>
                <w:tcPr>
                  <w:tcW w:w="2835" w:type="dxa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993" w:type="dxa"/>
                </w:tcPr>
                <w:p>
                  <w:pPr>
                    <w:rPr>
                      <w:rFonts w:hint="eastAsia"/>
                    </w:rPr>
                  </w:pPr>
                </w:p>
              </w:tc>
            </w:tr>
          </w:tbl>
          <w:p>
            <w:r>
              <w:rPr>
                <w:rFonts w:hint="eastAsia"/>
              </w:rPr>
              <w:t>检验结论：该样品经检验，所检指标符合G</w:t>
            </w:r>
            <w:r>
              <w:t>B175-2007</w:t>
            </w:r>
            <w:r>
              <w:rPr>
                <w:rFonts w:hint="eastAsia"/>
              </w:rPr>
              <w:t>标准要求。</w:t>
            </w:r>
          </w:p>
          <w:p>
            <w:r>
              <w:rPr>
                <w:rFonts w:hint="eastAsia"/>
              </w:rPr>
              <w:t xml:space="preserve">试验：唐明 </w:t>
            </w:r>
            <w:r>
              <w:t xml:space="preserve">                </w:t>
            </w:r>
            <w:r>
              <w:rPr>
                <w:rFonts w:hint="eastAsia"/>
              </w:rPr>
              <w:t>校准：王瑞瑞</w:t>
            </w:r>
            <w:r>
              <w:t xml:space="preserve">            </w:t>
            </w:r>
            <w:r>
              <w:rPr>
                <w:rFonts w:hint="eastAsia"/>
              </w:rPr>
              <w:t>批准：张勇奇</w:t>
            </w:r>
          </w:p>
          <w:p>
            <w:pPr>
              <w:rPr>
                <w:rFonts w:ascii="宋体" w:hAnsi="宋体"/>
              </w:rPr>
            </w:pPr>
          </w:p>
          <w:p>
            <w:pPr>
              <w:rPr>
                <w:rFonts w:hint="eastAsia" w:ascii="宋体" w:hAnsi="宋体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346200" cy="2058035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72" b="3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20" cy="206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drawing>
                <wp:inline distT="0" distB="0" distL="0" distR="0">
                  <wp:extent cx="1371600" cy="206375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6" b="13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65" cy="208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/>
              </w:rPr>
              <w:drawing>
                <wp:inline distT="0" distB="0" distL="0" distR="0">
                  <wp:extent cx="1466850" cy="207645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09" b="12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767" cy="209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/>
              </w:rPr>
              <w:drawing>
                <wp:inline distT="0" distB="0" distL="0" distR="0">
                  <wp:extent cx="2275840" cy="1510030"/>
                  <wp:effectExtent l="0" t="381000" r="0" b="35687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9" r="27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7704" cy="151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</w:t>
            </w:r>
            <w:r>
              <w:rPr>
                <w:rFonts w:ascii="宋体" w:hAnsi="宋体"/>
              </w:rPr>
              <w:drawing>
                <wp:inline distT="0" distB="0" distL="0" distR="0">
                  <wp:extent cx="1550670" cy="225425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2" b="9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20" cy="22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-315" w:leftChars="-150" w:firstLine="632" w:firstLineChars="300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抽查四份（矿渣粉、煤灰、水泥）第三方对原材料的检验报告</w:t>
            </w:r>
          </w:p>
          <w:p>
            <w:pPr>
              <w:ind w:left="-315" w:leftChars="-150" w:firstLine="632" w:firstLineChars="300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drawing>
                <wp:inline distT="0" distB="0" distL="0" distR="0">
                  <wp:extent cx="1272540" cy="1995805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" b="10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94" cy="200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/>
              </w:rPr>
              <w:t xml:space="preserve"> </w:t>
            </w:r>
            <w:r>
              <w:rPr>
                <w:rFonts w:ascii="宋体" w:hAnsi="宋体"/>
                <w:b/>
              </w:rPr>
              <w:drawing>
                <wp:inline distT="0" distB="0" distL="0" distR="0">
                  <wp:extent cx="1368425" cy="1947545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" b="18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50" cy="196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</w:rPr>
              <w:t xml:space="preserve"> </w:t>
            </w:r>
            <w:r>
              <w:rPr>
                <w:rFonts w:ascii="宋体" w:hAnsi="宋体"/>
                <w:b/>
              </w:rPr>
              <w:drawing>
                <wp:inline distT="0" distB="0" distL="0" distR="0">
                  <wp:extent cx="1420495" cy="197612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4" b="18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290" cy="198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</w:rPr>
              <w:t xml:space="preserve"> </w:t>
            </w:r>
            <w:r>
              <w:rPr>
                <w:rFonts w:ascii="宋体" w:hAnsi="宋体"/>
                <w:b/>
              </w:rPr>
              <w:drawing>
                <wp:inline distT="0" distB="0" distL="0" distR="0">
                  <wp:extent cx="1403985" cy="196977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9" b="18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166" cy="199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采购进货检验中发现的不合格品，由采购部负责退回供应商，目前，公司的供应商比较稳定，产品质量达到公司的质量要求，未出现采购不合格的情况。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查成品检验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-</w:t>
            </w:r>
            <w:r>
              <w:rPr>
                <w:rFonts w:asciiTheme="minorEastAsia" w:hAnsiTheme="minorEastAsia" w:eastAsiaTheme="minorEastAsia" w:cstheme="minorEastAsia"/>
                <w:b/>
                <w:bCs/>
                <w:szCs w:val="21"/>
              </w:rPr>
              <w:t>-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抽混凝土立方体试件强度检验报告</w:t>
            </w:r>
          </w:p>
          <w:p>
            <w:pPr>
              <w:pStyle w:val="17"/>
              <w:numPr>
                <w:ilvl w:val="0"/>
                <w:numId w:val="5"/>
              </w:numPr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试验编号：2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1120055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试验日期：2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021-12-13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检测依据：GB/T50081-2019</w:t>
            </w:r>
          </w:p>
          <w:p>
            <w:pPr>
              <w:pStyle w:val="17"/>
              <w:spacing w:line="360" w:lineRule="auto"/>
              <w:ind w:left="780" w:firstLine="0"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试件规格mm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*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mm：1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00*100*100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强度等级：C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25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试件龄期：2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d 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  </w:t>
            </w:r>
          </w:p>
          <w:p>
            <w:pPr>
              <w:pStyle w:val="17"/>
              <w:spacing w:line="360" w:lineRule="auto"/>
              <w:ind w:left="780" w:firstLine="0"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有效强度M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P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a：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30.77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试验编号：2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1120062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试验日期：2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021-12-15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检测依据：G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B/T50081-2019</w:t>
            </w:r>
          </w:p>
          <w:p>
            <w:pPr>
              <w:pStyle w:val="17"/>
              <w:spacing w:line="360" w:lineRule="auto"/>
              <w:ind w:left="780" w:firstLine="0"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试件规格mm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*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mm：1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00*100*100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强度等级：C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30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试件龄期：2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d 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   </w:t>
            </w:r>
          </w:p>
          <w:p>
            <w:pPr>
              <w:pStyle w:val="17"/>
              <w:spacing w:line="360" w:lineRule="auto"/>
              <w:ind w:left="780" w:firstLine="0"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有效强度M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P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a：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37.31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试验编号：2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1120057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试验日期：2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021-12-14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检测依据：G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B/T50081-2019</w:t>
            </w:r>
          </w:p>
          <w:p>
            <w:pPr>
              <w:pStyle w:val="17"/>
              <w:spacing w:line="360" w:lineRule="auto"/>
              <w:ind w:left="780" w:firstLine="0"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试件规格mm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*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mm：1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00*100*100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强度等级：C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35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试件龄期：2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d 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   </w:t>
            </w:r>
          </w:p>
          <w:p>
            <w:pPr>
              <w:pStyle w:val="17"/>
              <w:spacing w:line="360" w:lineRule="auto"/>
              <w:ind w:left="780" w:firstLine="0"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有效强度M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P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a：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42.00</w:t>
            </w:r>
          </w:p>
          <w:p>
            <w:pPr>
              <w:pStyle w:val="17"/>
              <w:numPr>
                <w:ilvl w:val="0"/>
                <w:numId w:val="5"/>
              </w:numPr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试验编号：2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1120094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试验日期：2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021-12-21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检测依据：GB/T50081-2019</w:t>
            </w:r>
          </w:p>
          <w:p>
            <w:pPr>
              <w:pStyle w:val="17"/>
              <w:spacing w:line="360" w:lineRule="auto"/>
              <w:ind w:left="780" w:firstLine="0"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试件规格mm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*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mm：1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00*100*100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强度等级：C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40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试件龄期：2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d 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  </w:t>
            </w:r>
          </w:p>
          <w:p>
            <w:pPr>
              <w:pStyle w:val="17"/>
              <w:spacing w:line="360" w:lineRule="auto"/>
              <w:ind w:left="780" w:firstLine="0"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有效强度M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P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a：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47.95</w:t>
            </w:r>
          </w:p>
          <w:p>
            <w:pPr>
              <w:pStyle w:val="17"/>
              <w:numPr>
                <w:ilvl w:val="0"/>
                <w:numId w:val="5"/>
              </w:numPr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试验编号：2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1120075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试验日期：2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021-12-18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检测依据：GB/T50081-2019</w:t>
            </w:r>
          </w:p>
          <w:p>
            <w:pPr>
              <w:pStyle w:val="17"/>
              <w:spacing w:line="360" w:lineRule="auto"/>
              <w:ind w:left="780" w:firstLine="0"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试件规格mm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*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mm：1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00*100*100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强度等级：C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50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试件龄期：2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d 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   </w:t>
            </w:r>
          </w:p>
          <w:p>
            <w:pPr>
              <w:pStyle w:val="17"/>
              <w:spacing w:line="360" w:lineRule="auto"/>
              <w:ind w:left="780" w:firstLine="0" w:firstLineChars="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有效强度M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P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a：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58.55</w:t>
            </w:r>
          </w:p>
          <w:p>
            <w:pPr>
              <w:numPr>
                <w:ilvl w:val="3"/>
                <w:numId w:val="0"/>
              </w:numPr>
              <w:spacing w:line="360" w:lineRule="auto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   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drawing>
                <wp:inline distT="0" distB="0" distL="0" distR="0">
                  <wp:extent cx="2211070" cy="152590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48" cy="154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drawing>
                <wp:inline distT="0" distB="0" distL="0" distR="0">
                  <wp:extent cx="2241550" cy="147256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" t="10763" r="1921" b="5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922" cy="147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drawing>
                <wp:inline distT="0" distB="0" distL="0" distR="0">
                  <wp:extent cx="2044700" cy="144907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3" t="8583" r="1308" b="4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131" cy="145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drawing>
                <wp:inline distT="0" distB="0" distL="0" distR="0">
                  <wp:extent cx="2133600" cy="143510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7" t="11171" b="4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46" cy="144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drawing>
                <wp:inline distT="0" distB="0" distL="0" distR="0">
                  <wp:extent cx="1898650" cy="1313815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8" t="11444" b="3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834" cy="131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6、第三方检验报告：</w:t>
            </w:r>
          </w:p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预拌混凝土：</w:t>
            </w:r>
          </w:p>
          <w:p>
            <w:pPr>
              <w:spacing w:line="360" w:lineRule="auto"/>
              <w:ind w:firstLine="210" w:firstLineChars="10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drawing>
                <wp:inline distT="0" distB="0" distL="0" distR="0">
                  <wp:extent cx="1024255" cy="144780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80" b="9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05" cy="146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drawing>
                <wp:inline distT="0" distB="0" distL="0" distR="0">
                  <wp:extent cx="954405" cy="14605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5" t="7201" r="3918" b="16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7" cy="147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drawing>
                <wp:inline distT="0" distB="0" distL="0" distR="0">
                  <wp:extent cx="982980" cy="146685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1" t="8642" r="2933" b="14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66" cy="148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drawing>
                <wp:inline distT="0" distB="0" distL="0" distR="0">
                  <wp:extent cx="938530" cy="148590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8" t="6980" r="3371" b="14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799" cy="150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t xml:space="preserve">  </w:t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drawing>
                <wp:inline distT="0" distB="0" distL="0" distR="0">
                  <wp:extent cx="977900" cy="152400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5" t="9638" r="4509" b="10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53" cy="154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12"/>
              </w:tabs>
              <w:spacing w:line="360" w:lineRule="auto"/>
              <w:rPr>
                <w:rFonts w:asciiTheme="minorEastAsia" w:hAnsiTheme="minorEastAsia" w:eastAsia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  <w:t>原材料第三方检测报告</w:t>
            </w:r>
          </w:p>
          <w:p>
            <w:pPr>
              <w:tabs>
                <w:tab w:val="left" w:pos="212"/>
              </w:tabs>
              <w:spacing w:line="360" w:lineRule="auto"/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drawing>
                <wp:inline distT="0" distB="0" distL="0" distR="0">
                  <wp:extent cx="882650" cy="1416685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9" t="5650" r="964" b="12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37" cy="142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drawing>
                <wp:inline distT="0" distB="0" distL="0" distR="0">
                  <wp:extent cx="908050" cy="1448435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" t="6204" r="8500" b="13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07" cy="145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drawing>
                <wp:inline distT="0" distB="0" distL="0" distR="0">
                  <wp:extent cx="960755" cy="142240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37" r="8465" b="17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52" cy="143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drawing>
                <wp:inline distT="0" distB="0" distL="0" distR="0">
                  <wp:extent cx="948055" cy="1416050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7" r="9430" b="15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54" cy="143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drawing>
                <wp:inline distT="0" distB="0" distL="0" distR="0">
                  <wp:extent cx="981710" cy="1485900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2" t="10415" r="7963" b="15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12" cy="149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kern w:val="0"/>
                <w:szCs w:val="21"/>
              </w:rPr>
              <w:drawing>
                <wp:inline distT="0" distB="0" distL="0" distR="0">
                  <wp:extent cx="997585" cy="1450340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9" t="10748" r="6638" b="18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51" cy="146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kern w:val="0"/>
                <w:szCs w:val="21"/>
              </w:rPr>
            </w:pP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  <w:t>产品交付后，营销部为归口部门，详见销售部检查表。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384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/>
              </w:rPr>
              <w:t>不合格输出的控制</w:t>
            </w:r>
          </w:p>
        </w:tc>
        <w:tc>
          <w:tcPr>
            <w:tcW w:w="960" w:type="dxa"/>
          </w:tcPr>
          <w:p>
            <w:pPr>
              <w:pStyle w:val="6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Q8.7</w:t>
            </w:r>
          </w:p>
          <w:p>
            <w:pPr>
              <w:jc w:val="left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</w:p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公司制定有《不合格品控制程序》（编号：</w:t>
            </w:r>
            <w:r>
              <w:rPr>
                <w:rFonts w:ascii="宋体" w:hAnsi="宋体" w:cs="宋体"/>
                <w:szCs w:val="21"/>
              </w:rPr>
              <w:t>JMFT-CX-2019-16</w:t>
            </w:r>
            <w:r>
              <w:rPr>
                <w:rFonts w:hint="eastAsia" w:ascii="宋体" w:hAnsi="宋体" w:cs="宋体"/>
                <w:szCs w:val="21"/>
              </w:rPr>
              <w:t>），以实施对生产全过程不合格品处置的控制。生产过程中未发现不合格，倘若发生，执行《不合格品控制程序》。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采购材料发现不合格时，通知采购人员，对不合格的采购材料进行隔离，一般情况下进行退货处理，未发生过让步使用的情况。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提供有《不合格记录台账》：</w:t>
            </w:r>
          </w:p>
          <w:p>
            <w:pPr>
              <w:spacing w:line="360" w:lineRule="auto"/>
              <w:ind w:firstLine="212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.</w:t>
            </w:r>
            <w:r>
              <w:rPr>
                <w:rFonts w:hint="eastAsia" w:ascii="宋体" w:hAnsi="宋体" w:cs="宋体"/>
                <w:szCs w:val="21"/>
              </w:rPr>
              <w:t>《不合格记录表》 编号：F</w:t>
            </w:r>
            <w:r>
              <w:rPr>
                <w:rFonts w:ascii="宋体" w:hAnsi="宋体" w:cs="宋体"/>
                <w:szCs w:val="21"/>
              </w:rPr>
              <w:t xml:space="preserve">TBHG20210301    </w:t>
            </w:r>
            <w:r>
              <w:rPr>
                <w:rFonts w:hint="eastAsia" w:ascii="宋体" w:hAnsi="宋体" w:cs="宋体"/>
                <w:szCs w:val="21"/>
              </w:rPr>
              <w:t xml:space="preserve">检验内容：碎石 </w:t>
            </w:r>
            <w:r>
              <w:rPr>
                <w:rFonts w:ascii="宋体" w:hAnsi="宋体" w:cs="宋体"/>
                <w:szCs w:val="21"/>
              </w:rPr>
              <w:t xml:space="preserve">     </w:t>
            </w:r>
            <w:r>
              <w:rPr>
                <w:rFonts w:hint="eastAsia" w:ascii="宋体" w:hAnsi="宋体" w:cs="宋体"/>
                <w:szCs w:val="21"/>
              </w:rPr>
              <w:t>检验日期：2</w:t>
            </w:r>
            <w:r>
              <w:rPr>
                <w:rFonts w:ascii="宋体" w:hAnsi="宋体" w:cs="宋体"/>
                <w:szCs w:val="21"/>
              </w:rPr>
              <w:t>021.03.24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不合格项：一车碎石有大量树根，鄂H</w:t>
            </w:r>
            <w:r>
              <w:rPr>
                <w:rFonts w:ascii="宋体" w:hAnsi="宋体" w:cs="宋体"/>
                <w:szCs w:val="21"/>
              </w:rPr>
              <w:t>OS883.</w:t>
            </w:r>
          </w:p>
          <w:p>
            <w:pPr>
              <w:spacing w:line="360" w:lineRule="auto"/>
              <w:ind w:firstLine="43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处理方法：报物资部作退货处理。 处理人：王瑞瑞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时间：2</w:t>
            </w:r>
            <w:r>
              <w:rPr>
                <w:rFonts w:ascii="宋体" w:hAnsi="宋体" w:cs="宋体"/>
                <w:szCs w:val="21"/>
              </w:rPr>
              <w:t>021.03.24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处理结果：已退回 </w:t>
            </w:r>
            <w:r>
              <w:rPr>
                <w:rFonts w:ascii="宋体" w:hAnsi="宋体" w:cs="宋体"/>
                <w:szCs w:val="21"/>
              </w:rPr>
              <w:t xml:space="preserve">              </w:t>
            </w:r>
            <w:r>
              <w:rPr>
                <w:rFonts w:hint="eastAsia" w:ascii="宋体" w:hAnsi="宋体" w:cs="宋体"/>
                <w:szCs w:val="21"/>
              </w:rPr>
              <w:t xml:space="preserve">审批人：张勇齐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时间：2</w:t>
            </w:r>
            <w:r>
              <w:rPr>
                <w:rFonts w:ascii="宋体" w:hAnsi="宋体" w:cs="宋体"/>
                <w:szCs w:val="21"/>
              </w:rPr>
              <w:t>021.03.24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ind w:firstLine="212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2.</w:t>
            </w:r>
            <w:r>
              <w:rPr>
                <w:rFonts w:hint="eastAsia" w:ascii="宋体" w:hAnsi="宋体" w:cs="宋体"/>
                <w:szCs w:val="21"/>
              </w:rPr>
              <w:t>《不合格记录表》 编号：F</w:t>
            </w:r>
            <w:r>
              <w:rPr>
                <w:rFonts w:ascii="宋体" w:hAnsi="宋体" w:cs="宋体"/>
                <w:szCs w:val="21"/>
              </w:rPr>
              <w:t xml:space="preserve">TBHG20210401    </w:t>
            </w:r>
            <w:r>
              <w:rPr>
                <w:rFonts w:hint="eastAsia" w:ascii="宋体" w:hAnsi="宋体" w:cs="宋体"/>
                <w:szCs w:val="21"/>
              </w:rPr>
              <w:t xml:space="preserve">检验内容：机制砂 </w:t>
            </w:r>
            <w:r>
              <w:rPr>
                <w:rFonts w:ascii="宋体" w:hAnsi="宋体" w:cs="宋体"/>
                <w:szCs w:val="21"/>
              </w:rPr>
              <w:t xml:space="preserve">     </w:t>
            </w:r>
            <w:r>
              <w:rPr>
                <w:rFonts w:hint="eastAsia" w:ascii="宋体" w:hAnsi="宋体" w:cs="宋体"/>
                <w:szCs w:val="21"/>
              </w:rPr>
              <w:t>检验日期：2</w:t>
            </w:r>
            <w:r>
              <w:rPr>
                <w:rFonts w:ascii="宋体" w:hAnsi="宋体" w:cs="宋体"/>
                <w:szCs w:val="21"/>
              </w:rPr>
              <w:t>021.04.07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不合格项：一车机制砂含水严重，鄂H</w:t>
            </w:r>
            <w:r>
              <w:rPr>
                <w:rFonts w:ascii="宋体" w:hAnsi="宋体" w:cs="宋体"/>
                <w:szCs w:val="21"/>
              </w:rPr>
              <w:t>OX075.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处理方法：要求单独堆放，待水放干后再用，并要求物资和厂家沟通严格要求出厂质量，并对该车作出相应的处罚。 </w:t>
            </w:r>
          </w:p>
          <w:p>
            <w:pPr>
              <w:spacing w:line="360" w:lineRule="auto"/>
              <w:ind w:firstLine="43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处理人：王瑞瑞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时间：2</w:t>
            </w:r>
            <w:r>
              <w:rPr>
                <w:rFonts w:ascii="宋体" w:hAnsi="宋体" w:cs="宋体"/>
                <w:szCs w:val="21"/>
              </w:rPr>
              <w:t>021.04.07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处理结果：已单独存放，对该车作出扣吨位处罚，并告知厂家。 </w:t>
            </w:r>
            <w:r>
              <w:rPr>
                <w:rFonts w:ascii="宋体" w:hAnsi="宋体" w:cs="宋体"/>
                <w:szCs w:val="21"/>
              </w:rPr>
              <w:t xml:space="preserve">              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审批人：张勇齐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时间：2</w:t>
            </w:r>
            <w:r>
              <w:rPr>
                <w:rFonts w:ascii="宋体" w:hAnsi="宋体" w:cs="宋体"/>
                <w:szCs w:val="21"/>
              </w:rPr>
              <w:t>021.04.07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ind w:firstLine="212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3.</w:t>
            </w:r>
            <w:r>
              <w:rPr>
                <w:rFonts w:hint="eastAsia" w:ascii="宋体" w:hAnsi="宋体" w:cs="宋体"/>
                <w:szCs w:val="21"/>
              </w:rPr>
              <w:t>《不合格记录表》 编号：F</w:t>
            </w:r>
            <w:r>
              <w:rPr>
                <w:rFonts w:ascii="宋体" w:hAnsi="宋体" w:cs="宋体"/>
                <w:szCs w:val="21"/>
              </w:rPr>
              <w:t xml:space="preserve">TBHG20211201   </w:t>
            </w:r>
            <w:r>
              <w:rPr>
                <w:rFonts w:hint="eastAsia" w:ascii="宋体" w:hAnsi="宋体" w:cs="宋体"/>
                <w:szCs w:val="21"/>
              </w:rPr>
              <w:t xml:space="preserve">检验内容：碎石 </w:t>
            </w:r>
            <w:r>
              <w:rPr>
                <w:rFonts w:ascii="宋体" w:hAnsi="宋体" w:cs="宋体"/>
                <w:szCs w:val="21"/>
              </w:rPr>
              <w:t xml:space="preserve">     </w:t>
            </w:r>
            <w:r>
              <w:rPr>
                <w:rFonts w:hint="eastAsia" w:ascii="宋体" w:hAnsi="宋体" w:cs="宋体"/>
                <w:szCs w:val="21"/>
              </w:rPr>
              <w:t>检验日期：2</w:t>
            </w:r>
            <w:r>
              <w:rPr>
                <w:rFonts w:ascii="宋体" w:hAnsi="宋体" w:cs="宋体"/>
                <w:szCs w:val="21"/>
              </w:rPr>
              <w:t>021.12.05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不合格项：一车碎石含有大量大石块（目测）</w:t>
            </w:r>
          </w:p>
          <w:p>
            <w:pPr>
              <w:spacing w:line="360" w:lineRule="auto"/>
              <w:ind w:firstLine="43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处理方法：通知物资部作退货处理。 处理人：王瑞瑞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时间：2</w:t>
            </w:r>
            <w:r>
              <w:rPr>
                <w:rFonts w:ascii="宋体" w:hAnsi="宋体" w:cs="宋体"/>
                <w:szCs w:val="21"/>
              </w:rPr>
              <w:t>021.12.05</w:t>
            </w:r>
          </w:p>
          <w:p>
            <w:pPr>
              <w:spacing w:line="360" w:lineRule="auto"/>
              <w:ind w:firstLine="43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处理结果：已退货</w:t>
            </w:r>
            <w:r>
              <w:rPr>
                <w:rFonts w:ascii="宋体" w:hAnsi="宋体" w:cs="宋体"/>
                <w:szCs w:val="21"/>
              </w:rPr>
              <w:t xml:space="preserve">            </w:t>
            </w:r>
            <w:r>
              <w:rPr>
                <w:rFonts w:hint="eastAsia" w:ascii="宋体" w:hAnsi="宋体" w:cs="宋体"/>
                <w:szCs w:val="21"/>
              </w:rPr>
              <w:t xml:space="preserve">审批人：张勇齐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时间：2</w:t>
            </w:r>
            <w:r>
              <w:rPr>
                <w:rFonts w:ascii="宋体" w:hAnsi="宋体" w:cs="宋体"/>
                <w:szCs w:val="21"/>
              </w:rPr>
              <w:t>021.12.05</w:t>
            </w:r>
          </w:p>
          <w:p>
            <w:pPr>
              <w:spacing w:line="360" w:lineRule="auto"/>
              <w:ind w:firstLine="430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463040" cy="203835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98" b="9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55" cy="204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378585" cy="203835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3" b="10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00" cy="205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299845" cy="203835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7" t="3324" b="14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08" cy="205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line="260" w:lineRule="exact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Cs w:val="21"/>
              </w:rPr>
              <w:t>经了解，目前尚未发生交付后或使用后才发现的产品不合格情况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384" w:type="dxa"/>
          </w:tcPr>
          <w:p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环境和职业健康安全运行控制</w:t>
            </w:r>
          </w:p>
        </w:tc>
        <w:tc>
          <w:tcPr>
            <w:tcW w:w="960" w:type="dxa"/>
          </w:tcPr>
          <w:p>
            <w:pPr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E8.1</w:t>
            </w:r>
          </w:p>
          <w:p>
            <w:pPr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S8.1.2</w:t>
            </w:r>
          </w:p>
          <w:p>
            <w:pPr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S8.1.3</w:t>
            </w:r>
          </w:p>
          <w:p>
            <w:pPr>
              <w:pStyle w:val="6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  <w:t>S</w:t>
            </w:r>
            <w:r>
              <w:rPr>
                <w:rFonts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  <w:t>8.1.4</w:t>
            </w:r>
          </w:p>
        </w:tc>
        <w:tc>
          <w:tcPr>
            <w:tcW w:w="10004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重要环境因素的控制，依据公司的相关规定：节能降耗控制程序、废弃物控制程序、大气污染防治控制程序、噪声控制程序、消防管理控制程序等；</w:t>
            </w:r>
          </w:p>
          <w:p>
            <w:pPr>
              <w:numPr>
                <w:ilvl w:val="0"/>
                <w:numId w:val="6"/>
              </w:num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废水控制：生产废水为搅拌车、搅拌机等设备清洁废水及砂石分离过程产生的废水，生产废水经沉淀池收集后回用，不外排。生活废水近远期采取不同的处理方式。近期，项目食堂废水经隔油池处理后与生活废水混流，经化粪池和厂区一体化4S-MBR处理工艺处理达到《污水综合排放标准》（GB8978-1996）表4一级标准要求后用于厂区绿化；远期，项目食堂废水经隔油池处理后与生活废水混流，经化粪池处理达到《污水综合排放标准》（GB8978-1996）表4三级标准后经规范化排污口排入市政管网，进入杨树港污水处理厂处理，尾水进入杨树港。</w:t>
            </w:r>
          </w:p>
          <w:p>
            <w:pPr>
              <w:numPr>
                <w:ilvl w:val="0"/>
                <w:numId w:val="6"/>
              </w:num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噪声控制：企业采取优化厂区平面布置，合理布置高噪声设备，对高噪声设备采取隔声、消声、减振及置于相对封闭的厂房内等措施，并对厂区进行绿化等措施降低噪声对周围环境的影响。</w:t>
            </w:r>
          </w:p>
          <w:p>
            <w:pPr>
              <w:numPr>
                <w:ilvl w:val="0"/>
                <w:numId w:val="6"/>
              </w:num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废气控制：公司的生产设备属于密闭设备，自动化程度高，原料为颗粒状，在生产过程中不产生粉尘及废气，生产中的废气及粉尘为清扫地面产生的灰尘，公司采取降尘洒水，通风的办法。见附件环境监测报告。</w:t>
            </w:r>
          </w:p>
          <w:p>
            <w:pPr>
              <w:numPr>
                <w:ilvl w:val="0"/>
                <w:numId w:val="6"/>
              </w:num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粉尘：原料库房有布袋除尘装置，库房顶部有喷雾装置，用于降尘。产区设有洒水车和高低2个洒水台进行洒水作业。生产区域入口有颗粒物监测装置。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）固废控制：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除尘器及车间收集的粉尘作为原料回用于生产；砂石泥浆及沉淀池污泥堆放于厂区堆场，作为厂区地面基础设施材料综合利用，后期经干化后运至垃圾填埋场填埋，生活垃圾集中收集后由环卫部门定期清运。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）能资源管理：公司规定人走灯灭，人走关水等节能节水措施，并互相监督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）火灾事故预防：公司配备有灭火器等消防设施，有应急预案，相关人员经过培训。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）触电：公司专人负责对电箱进行检查和维保，电气线路防护，措施到位。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）机械伤害：车间悬挂操作规程，人员经过培训，设备定期保养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）触电：电箱均有防触电标识，人员经过培训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提供人员社保清单：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公司制定了安全生产责任属，制定了安全目标考核制定.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提供员工体检清单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提供员工个人防护清单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运行控制基本满足要求。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经查，车辆维修现由企业自己作，企业现无承包商和外包过程。车辆维修产生固废处置见生产部记录。</w:t>
            </w:r>
          </w:p>
          <w:p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695450" cy="1270635"/>
                  <wp:effectExtent l="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073" cy="127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701800" cy="1285240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0" t="21941" r="16223" b="17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595" cy="129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2228215" cy="1301115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3" t="9911" r="2196" b="31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125" cy="130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1384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应急准备和响应</w:t>
            </w:r>
          </w:p>
        </w:tc>
        <w:tc>
          <w:tcPr>
            <w:tcW w:w="960" w:type="dxa"/>
          </w:tcPr>
          <w:p>
            <w:pPr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ES8.2</w:t>
            </w:r>
          </w:p>
          <w:p>
            <w:pPr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</w:p>
        </w:tc>
        <w:tc>
          <w:tcPr>
            <w:tcW w:w="10004" w:type="dxa"/>
          </w:tcPr>
          <w:p>
            <w:pPr>
              <w:ind w:firstLine="210" w:firstLineChars="1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公司制定DGST-CX-2018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-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14《应急准备和响应控制程序》、《应急救援预案》等，包括：火灾、爆炸应急预案、生产车间中毒、梅雨、雷电等恶劣天气应急预案、高空坠落应急预案等</w:t>
            </w:r>
          </w:p>
          <w:p>
            <w:pPr>
              <w:ind w:firstLine="210" w:firstLineChars="100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提供有：《事故应急预案演练记录》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/>
                <w:szCs w:val="21"/>
              </w:rPr>
              <w:t>演练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时间 ：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年7月2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日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/>
                <w:szCs w:val="21"/>
              </w:rPr>
              <w:t>演练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地点：调控中心楼梯口处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/>
                <w:szCs w:val="21"/>
              </w:rPr>
              <w:t>演练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单位：荆门市飞图混凝土有限公司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演练目的、内容：掌握发生触电事故后的处理程序和对伤亡人员的急救措施。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……</w:t>
            </w:r>
          </w:p>
          <w:p>
            <w:pPr>
              <w:ind w:firstLine="420" w:firstLineChars="200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提供有《2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年荆门市飞图混凝土有限公司消防演习报告》：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3870960</wp:posOffset>
                  </wp:positionH>
                  <wp:positionV relativeFrom="paragraph">
                    <wp:posOffset>194945</wp:posOffset>
                  </wp:positionV>
                  <wp:extent cx="1247140" cy="1647190"/>
                  <wp:effectExtent l="209550" t="0" r="181610" b="0"/>
                  <wp:wrapNone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0" t="3439" r="9477" b="115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4714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1921510</wp:posOffset>
                  </wp:positionH>
                  <wp:positionV relativeFrom="paragraph">
                    <wp:posOffset>55880</wp:posOffset>
                  </wp:positionV>
                  <wp:extent cx="1314450" cy="1923415"/>
                  <wp:effectExtent l="304800" t="0" r="285750" b="0"/>
                  <wp:wrapNone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2" r="6670" b="378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1445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2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年4月8日由安全环保部牵头，各部门负责任人和代表积极参加了2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021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年消防演习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116840</wp:posOffset>
                  </wp:positionV>
                  <wp:extent cx="1426210" cy="2082800"/>
                  <wp:effectExtent l="0" t="0" r="0" b="0"/>
                  <wp:wrapNone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1" b="8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14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……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drawing>
                <wp:inline distT="0" distB="0" distL="0" distR="0">
                  <wp:extent cx="1366520" cy="1930400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" t="19166" r="11365" b="1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802" cy="193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 xml:space="preserve"> 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drawing>
                <wp:inline distT="0" distB="0" distL="0" distR="0">
                  <wp:extent cx="1554480" cy="2241550"/>
                  <wp:effectExtent l="342900" t="0" r="33147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1" t="9800" r="11538" b="2216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62328" cy="225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实验室参加了演练。</w:t>
            </w:r>
          </w:p>
          <w:p>
            <w:pPr>
              <w:spacing w:line="360" w:lineRule="auto"/>
              <w:ind w:firstLine="525" w:firstLineChars="250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针对近期出现的新型冠状病毒引发的肺炎疫情，公司制定了疫情防控预案，公司有进行返岗人员健康报备管理、每日人员出入登记/量体温/戴口罩、是否发热、办公区域消毒、分餐制用餐时间管理等，严格按政府和预案的要求执行。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基本符合。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384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/>
              </w:rPr>
              <w:t>监视、测量、分析、评价</w:t>
            </w:r>
          </w:p>
        </w:tc>
        <w:tc>
          <w:tcPr>
            <w:tcW w:w="960" w:type="dxa"/>
          </w:tcPr>
          <w:p>
            <w:pPr>
              <w:spacing w:line="360" w:lineRule="auto"/>
              <w:ind w:left="310" w:hanging="310" w:hangingChars="147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Q9.1</w:t>
            </w:r>
          </w:p>
          <w:p>
            <w:pPr>
              <w:spacing w:line="360" w:lineRule="auto"/>
              <w:ind w:left="310" w:hanging="310" w:hangingChars="147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ES9.1.1</w:t>
            </w:r>
          </w:p>
          <w:p>
            <w:pPr>
              <w:spacing w:line="360" w:lineRule="auto"/>
              <w:ind w:left="310" w:hanging="310" w:hangingChars="147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Q9.1.3</w:t>
            </w:r>
          </w:p>
          <w:p>
            <w:pPr>
              <w:pStyle w:val="6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</w:p>
        </w:tc>
        <w:tc>
          <w:tcPr>
            <w:tcW w:w="10004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1、 查到《质量手册》，规定了有关数据分析评价的内容，符合标准要求。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负责人回答：对数据分析评价的方法和内容进行规定。经了解，试验室（质检）常用数据分析方法主要有直方图、因果分析、鱼刺图、排列图、对策表等法。所收集信息包括材料供方、顾客满意率、产品质量等。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2、 查到《分析报告》，对产品的质量情况、顾客满意度情况、体系的绩效和有效性、措施的有效性、外部供方的绩效、改进需求等进行数据总结，采用直方图、因果分析、鱼刺图、排列图、对策表等方法进行分析。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查到目标指标的完成情况，形成了相关的材料证实，并输入到了管理评审中。</w:t>
            </w:r>
          </w:p>
          <w:p>
            <w:pPr>
              <w:snapToGrid w:val="0"/>
              <w:spacing w:line="260" w:lineRule="exact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以上统计技术的应用和数据分析的实施情况证实，基本符合标准要求，均实施了有效性的评价，通过数据分析，为质量管理体系有关过程的改进提供机会。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384" w:type="dxa"/>
          </w:tcPr>
          <w:p>
            <w:pPr>
              <w:tabs>
                <w:tab w:val="left" w:pos="9720"/>
                <w:tab w:val="left" w:pos="9900"/>
              </w:tabs>
              <w:spacing w:before="62" w:beforeLines="20" w:after="62" w:afterLines="2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事件调查、不符合、纠正措施和预防措施</w:t>
            </w:r>
          </w:p>
          <w:p>
            <w:pPr>
              <w:tabs>
                <w:tab w:val="left" w:pos="9720"/>
                <w:tab w:val="left" w:pos="9900"/>
              </w:tabs>
              <w:spacing w:before="62" w:beforeLines="20" w:after="62" w:afterLines="20"/>
              <w:rPr>
                <w:rFonts w:asciiTheme="minorEastAsia" w:hAnsiTheme="minorEastAsia" w:eastAsiaTheme="minorEastAsia" w:cstheme="minorEastAsia"/>
                <w:szCs w:val="21"/>
              </w:rPr>
            </w:pPr>
          </w:p>
          <w:p>
            <w:pPr>
              <w:tabs>
                <w:tab w:val="left" w:pos="9720"/>
                <w:tab w:val="left" w:pos="9900"/>
              </w:tabs>
              <w:spacing w:before="62" w:beforeLines="20" w:after="62" w:afterLines="2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持续改进</w:t>
            </w:r>
          </w:p>
          <w:p/>
        </w:tc>
        <w:tc>
          <w:tcPr>
            <w:tcW w:w="960" w:type="dxa"/>
          </w:tcPr>
          <w:p>
            <w:pPr>
              <w:spacing w:line="360" w:lineRule="auto"/>
              <w:ind w:left="310" w:hanging="310" w:hangingChars="147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QES10.2</w:t>
            </w:r>
          </w:p>
          <w:p>
            <w:pPr>
              <w:spacing w:line="360" w:lineRule="auto"/>
              <w:ind w:left="310" w:hanging="310" w:hangingChars="147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ES10.3</w:t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</w:p>
          <w:p>
            <w:pPr>
              <w:spacing w:line="360" w:lineRule="auto"/>
              <w:ind w:left="310" w:hanging="310" w:hangingChars="147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实验室对已经识别的一般比较轻微问题或不符合采取纠正的办法，比较有影响或典型的问题则采取纠正措施予以控制。根据以往的经验或者针对施工过程的现场管理要求、安全及环保要求识别和确定潜在的不符合，有针对性地制定预防措施。使试验室管理和员工健康得到重视或关注。公司的试验室通过班前会、安全技术交底活动、工地现场会的形式贯彻实施预防措施，实施的效果比较好。</w:t>
            </w:r>
          </w:p>
          <w:p>
            <w:pPr>
              <w:spacing w:line="400" w:lineRule="exact"/>
              <w:ind w:firstLine="420" w:firstLineChars="20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查到《不符合纠正措施控制程序》，见程序文件确定的纠正/预防措施的控制的职责和相关的管理要求，覆盖标准要求，体系建立以来未发生更改变化，基本符合。</w:t>
            </w:r>
          </w:p>
          <w:p>
            <w:pPr>
              <w:spacing w:line="400" w:lineRule="exact"/>
              <w:ind w:firstLine="420" w:firstLineChars="20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见《环境、安全检查记录》，检查内容包括加工/生活/办公区域卫生情况,是否清理干净;危废收集处理情况;操作工配戴劳动防护用品情况；操作工是否按设备操作规程作业。电工持证上岗情况；生产安全用电情况；用电是否有乱搭线现象;接地保护是否完好；消防设施是否完好;消防通道是否畅通。</w:t>
            </w:r>
          </w:p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查到《不合格、不符合事件处理表》（编号：J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L453-01）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：</w:t>
            </w:r>
          </w:p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部门：生产车间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参加人员：刘军</w:t>
            </w:r>
          </w:p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信息陈述：2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021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年5月1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日在车间检查，废弃物没有按规定进行分类存放，可回收和不可回收的废弃物混放。</w:t>
            </w:r>
          </w:p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调查分析记录：车间操作工环保意识不强，对废弃物的分类掌握不够。</w:t>
            </w:r>
          </w:p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记录人：晏奇谋，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时间：2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021.5.12</w:t>
            </w:r>
          </w:p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纠正措施：在生产车间现场教育废弃物如何分类存放。对废弃物的处理按规定交由相关部门处置。</w:t>
            </w:r>
          </w:p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记录人：周晨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时间：2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021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年5月1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日</w:t>
            </w:r>
          </w:p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验证结果：已进行教育，废弃物按规定分类处理。</w:t>
            </w:r>
          </w:p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验证人：柴晓亮 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时间：2</w:t>
            </w:r>
            <w:r>
              <w:rPr>
                <w:rFonts w:asciiTheme="minorEastAsia" w:hAnsiTheme="minorEastAsia" w:eastAsiaTheme="minorEastAsia" w:cstheme="minorEastAsia"/>
                <w:szCs w:val="21"/>
              </w:rPr>
              <w:t>021.5.14</w:t>
            </w:r>
          </w:p>
          <w:p>
            <w:pPr>
              <w:spacing w:line="400" w:lineRule="exact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了解，所有措施没有引发在策划期间确定的风险和机遇的更新，也没有引发质量管理体系的变更，实施情况基本符合标准的要求。</w:t>
            </w:r>
          </w:p>
        </w:tc>
        <w:tc>
          <w:tcPr>
            <w:tcW w:w="1585" w:type="dxa"/>
          </w:tcPr>
          <w:p/>
        </w:tc>
      </w:tr>
    </w:tbl>
    <w:p>
      <w:r>
        <w:ptab w:relativeTo="margin" w:alignment="center" w:leader="none"/>
      </w:r>
    </w:p>
    <w:p/>
    <w:p/>
    <w:p>
      <w:pPr>
        <w:pStyle w:val="4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文本框 1" o:spid="_x0000_s3073" o:spt="202" type="#_x0000_t202" style="position:absolute;left:0pt;margin-left:620.4pt;margin-top:12.55pt;height:20.2pt;width:102.7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A1154A"/>
    <w:multiLevelType w:val="multilevel"/>
    <w:tmpl w:val="09A1154A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E2B4A7C"/>
    <w:multiLevelType w:val="multilevel"/>
    <w:tmpl w:val="3E2B4A7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E9F0E96"/>
    <w:multiLevelType w:val="multilevel"/>
    <w:tmpl w:val="3E9F0E96"/>
    <w:lvl w:ilvl="0" w:tentative="0">
      <w:start w:val="1"/>
      <w:numFmt w:val="bullet"/>
      <w:lvlText w:val=""/>
      <w:lvlJc w:val="left"/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5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7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9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1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3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5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7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91" w:hanging="420"/>
      </w:pPr>
      <w:rPr>
        <w:rFonts w:hint="default" w:ascii="Wingdings" w:hAnsi="Wingdings"/>
      </w:rPr>
    </w:lvl>
  </w:abstractNum>
  <w:abstractNum w:abstractNumId="3">
    <w:nsid w:val="5E6065B8"/>
    <w:multiLevelType w:val="multilevel"/>
    <w:tmpl w:val="5E6065B8"/>
    <w:lvl w:ilvl="0" w:tentative="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62A507B7"/>
    <w:multiLevelType w:val="singleLevel"/>
    <w:tmpl w:val="62A507B7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696D3B27"/>
    <w:multiLevelType w:val="multilevel"/>
    <w:tmpl w:val="696D3B27"/>
    <w:lvl w:ilvl="0" w:tentative="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5C69"/>
    <w:rsid w:val="00012193"/>
    <w:rsid w:val="00042337"/>
    <w:rsid w:val="00067765"/>
    <w:rsid w:val="000706D1"/>
    <w:rsid w:val="000720ED"/>
    <w:rsid w:val="0007545B"/>
    <w:rsid w:val="00084266"/>
    <w:rsid w:val="000A1B78"/>
    <w:rsid w:val="000E4FAA"/>
    <w:rsid w:val="000E6CFE"/>
    <w:rsid w:val="00112A8A"/>
    <w:rsid w:val="00120B0E"/>
    <w:rsid w:val="0012646B"/>
    <w:rsid w:val="00127EA6"/>
    <w:rsid w:val="00140CB9"/>
    <w:rsid w:val="001425D7"/>
    <w:rsid w:val="001427B3"/>
    <w:rsid w:val="00154100"/>
    <w:rsid w:val="00161433"/>
    <w:rsid w:val="00162ABF"/>
    <w:rsid w:val="00195235"/>
    <w:rsid w:val="001D13A7"/>
    <w:rsid w:val="001D3ED9"/>
    <w:rsid w:val="001E2F81"/>
    <w:rsid w:val="001F19E6"/>
    <w:rsid w:val="00220D8B"/>
    <w:rsid w:val="00220E6B"/>
    <w:rsid w:val="00224C83"/>
    <w:rsid w:val="00241D65"/>
    <w:rsid w:val="002504C3"/>
    <w:rsid w:val="00255682"/>
    <w:rsid w:val="00264251"/>
    <w:rsid w:val="00290998"/>
    <w:rsid w:val="0029273D"/>
    <w:rsid w:val="00295DCC"/>
    <w:rsid w:val="002A1BF2"/>
    <w:rsid w:val="002A320C"/>
    <w:rsid w:val="002A3B2D"/>
    <w:rsid w:val="002B72E8"/>
    <w:rsid w:val="002C0EB3"/>
    <w:rsid w:val="002E0C4E"/>
    <w:rsid w:val="00321002"/>
    <w:rsid w:val="00332E7F"/>
    <w:rsid w:val="00333432"/>
    <w:rsid w:val="00362030"/>
    <w:rsid w:val="00365189"/>
    <w:rsid w:val="00370E73"/>
    <w:rsid w:val="00373A4E"/>
    <w:rsid w:val="00384BF8"/>
    <w:rsid w:val="003959E4"/>
    <w:rsid w:val="003C694F"/>
    <w:rsid w:val="003D2720"/>
    <w:rsid w:val="003D43A8"/>
    <w:rsid w:val="00404E75"/>
    <w:rsid w:val="00405091"/>
    <w:rsid w:val="0040529A"/>
    <w:rsid w:val="004057DC"/>
    <w:rsid w:val="00433288"/>
    <w:rsid w:val="00482240"/>
    <w:rsid w:val="0048586F"/>
    <w:rsid w:val="00496FCF"/>
    <w:rsid w:val="004975FB"/>
    <w:rsid w:val="0049780C"/>
    <w:rsid w:val="004A1044"/>
    <w:rsid w:val="004B0247"/>
    <w:rsid w:val="004B1768"/>
    <w:rsid w:val="004B4CE0"/>
    <w:rsid w:val="004C653A"/>
    <w:rsid w:val="00505CB7"/>
    <w:rsid w:val="00532BED"/>
    <w:rsid w:val="00533C9F"/>
    <w:rsid w:val="00554937"/>
    <w:rsid w:val="00556D6F"/>
    <w:rsid w:val="00565660"/>
    <w:rsid w:val="00577C87"/>
    <w:rsid w:val="00587816"/>
    <w:rsid w:val="00591E10"/>
    <w:rsid w:val="005A24DE"/>
    <w:rsid w:val="005B0E5B"/>
    <w:rsid w:val="005C5C69"/>
    <w:rsid w:val="005C7AB0"/>
    <w:rsid w:val="005D10B5"/>
    <w:rsid w:val="005E2D53"/>
    <w:rsid w:val="005F2E44"/>
    <w:rsid w:val="006006FE"/>
    <w:rsid w:val="00606DC0"/>
    <w:rsid w:val="00613965"/>
    <w:rsid w:val="006166FB"/>
    <w:rsid w:val="00624C50"/>
    <w:rsid w:val="00652DBA"/>
    <w:rsid w:val="006815B7"/>
    <w:rsid w:val="00691ECF"/>
    <w:rsid w:val="006946A2"/>
    <w:rsid w:val="00695D36"/>
    <w:rsid w:val="006A64EF"/>
    <w:rsid w:val="006B0B4A"/>
    <w:rsid w:val="006C134B"/>
    <w:rsid w:val="006D0A87"/>
    <w:rsid w:val="006E7CD6"/>
    <w:rsid w:val="007036F6"/>
    <w:rsid w:val="00713673"/>
    <w:rsid w:val="00715BE7"/>
    <w:rsid w:val="00716788"/>
    <w:rsid w:val="00723B77"/>
    <w:rsid w:val="007240BC"/>
    <w:rsid w:val="00724AB7"/>
    <w:rsid w:val="00727D37"/>
    <w:rsid w:val="00735C8B"/>
    <w:rsid w:val="00737E74"/>
    <w:rsid w:val="00745AFE"/>
    <w:rsid w:val="00791554"/>
    <w:rsid w:val="007A7401"/>
    <w:rsid w:val="007C50D3"/>
    <w:rsid w:val="007C5648"/>
    <w:rsid w:val="007F3293"/>
    <w:rsid w:val="00812F92"/>
    <w:rsid w:val="0083123C"/>
    <w:rsid w:val="008443C7"/>
    <w:rsid w:val="008558A3"/>
    <w:rsid w:val="00862ED0"/>
    <w:rsid w:val="00866609"/>
    <w:rsid w:val="008704F0"/>
    <w:rsid w:val="00873671"/>
    <w:rsid w:val="00884463"/>
    <w:rsid w:val="00890DE5"/>
    <w:rsid w:val="00895973"/>
    <w:rsid w:val="0089757E"/>
    <w:rsid w:val="008B16E5"/>
    <w:rsid w:val="008E008C"/>
    <w:rsid w:val="008F3CCD"/>
    <w:rsid w:val="00902BBC"/>
    <w:rsid w:val="00907E0C"/>
    <w:rsid w:val="009252B9"/>
    <w:rsid w:val="00926107"/>
    <w:rsid w:val="00927414"/>
    <w:rsid w:val="00931B09"/>
    <w:rsid w:val="00932B93"/>
    <w:rsid w:val="0094318C"/>
    <w:rsid w:val="00945E34"/>
    <w:rsid w:val="009713C2"/>
    <w:rsid w:val="00973960"/>
    <w:rsid w:val="009902F5"/>
    <w:rsid w:val="009C2D70"/>
    <w:rsid w:val="009C51EA"/>
    <w:rsid w:val="009D2543"/>
    <w:rsid w:val="009E37CF"/>
    <w:rsid w:val="009E3D5C"/>
    <w:rsid w:val="00A05274"/>
    <w:rsid w:val="00A117A0"/>
    <w:rsid w:val="00A151DF"/>
    <w:rsid w:val="00A16C91"/>
    <w:rsid w:val="00A36986"/>
    <w:rsid w:val="00A44EA8"/>
    <w:rsid w:val="00A65B1B"/>
    <w:rsid w:val="00A759C6"/>
    <w:rsid w:val="00A75B8F"/>
    <w:rsid w:val="00A82223"/>
    <w:rsid w:val="00A85A10"/>
    <w:rsid w:val="00AB104E"/>
    <w:rsid w:val="00AB4DAF"/>
    <w:rsid w:val="00AD5361"/>
    <w:rsid w:val="00AD5C7E"/>
    <w:rsid w:val="00AE2D2B"/>
    <w:rsid w:val="00AE4D28"/>
    <w:rsid w:val="00AF771A"/>
    <w:rsid w:val="00B067C8"/>
    <w:rsid w:val="00B07E17"/>
    <w:rsid w:val="00B35D2F"/>
    <w:rsid w:val="00B41FAE"/>
    <w:rsid w:val="00B4224B"/>
    <w:rsid w:val="00B6344D"/>
    <w:rsid w:val="00B75500"/>
    <w:rsid w:val="00BB1C65"/>
    <w:rsid w:val="00BC75C0"/>
    <w:rsid w:val="00BE6206"/>
    <w:rsid w:val="00BE78D6"/>
    <w:rsid w:val="00BF37AE"/>
    <w:rsid w:val="00C0531B"/>
    <w:rsid w:val="00C2592D"/>
    <w:rsid w:val="00C31506"/>
    <w:rsid w:val="00C41061"/>
    <w:rsid w:val="00C81075"/>
    <w:rsid w:val="00C851F3"/>
    <w:rsid w:val="00CA3A60"/>
    <w:rsid w:val="00CA47D6"/>
    <w:rsid w:val="00CB301D"/>
    <w:rsid w:val="00CB7E93"/>
    <w:rsid w:val="00CC63ED"/>
    <w:rsid w:val="00CD0DFA"/>
    <w:rsid w:val="00CD2726"/>
    <w:rsid w:val="00CD378A"/>
    <w:rsid w:val="00CD457B"/>
    <w:rsid w:val="00CE4D44"/>
    <w:rsid w:val="00CF3B56"/>
    <w:rsid w:val="00D052E2"/>
    <w:rsid w:val="00D14429"/>
    <w:rsid w:val="00D253CC"/>
    <w:rsid w:val="00D45DE0"/>
    <w:rsid w:val="00D4740E"/>
    <w:rsid w:val="00D53B9F"/>
    <w:rsid w:val="00D65377"/>
    <w:rsid w:val="00D824EC"/>
    <w:rsid w:val="00D907C1"/>
    <w:rsid w:val="00DA5816"/>
    <w:rsid w:val="00DB360D"/>
    <w:rsid w:val="00E052DF"/>
    <w:rsid w:val="00E15063"/>
    <w:rsid w:val="00E20856"/>
    <w:rsid w:val="00E22B14"/>
    <w:rsid w:val="00E54927"/>
    <w:rsid w:val="00E73738"/>
    <w:rsid w:val="00E74288"/>
    <w:rsid w:val="00E83759"/>
    <w:rsid w:val="00E95296"/>
    <w:rsid w:val="00EA1DE9"/>
    <w:rsid w:val="00EB4CBC"/>
    <w:rsid w:val="00EC10A8"/>
    <w:rsid w:val="00ED0469"/>
    <w:rsid w:val="00ED398D"/>
    <w:rsid w:val="00EF0385"/>
    <w:rsid w:val="00F164BF"/>
    <w:rsid w:val="00F353B7"/>
    <w:rsid w:val="00F67308"/>
    <w:rsid w:val="00F838BC"/>
    <w:rsid w:val="00F96E3A"/>
    <w:rsid w:val="00FA6AFA"/>
    <w:rsid w:val="00FF4D40"/>
    <w:rsid w:val="1F54460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5"/>
    <w:semiHidden/>
    <w:unhideWhenUsed/>
    <w:qFormat/>
    <w:uiPriority w:val="99"/>
    <w:pPr>
      <w:spacing w:after="120"/>
      <w:ind w:left="420" w:leftChars="2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2"/>
    <w:link w:val="16"/>
    <w:qFormat/>
    <w:uiPriority w:val="0"/>
    <w:pPr>
      <w:spacing w:after="0"/>
      <w:ind w:left="0" w:leftChars="0" w:firstLine="420" w:firstLineChars="200"/>
      <w:jc w:val="left"/>
    </w:pPr>
    <w:rPr>
      <w:rFonts w:ascii="宋体" w:hAnsi="宋体" w:eastAsia="仿宋_GB2312"/>
      <w:color w:val="000000"/>
      <w:sz w:val="2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9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character" w:customStyle="1" w:styleId="15">
    <w:name w:val="正文文本缩进 字符"/>
    <w:basedOn w:val="9"/>
    <w:link w:val="2"/>
    <w:semiHidden/>
    <w:qFormat/>
    <w:uiPriority w:val="99"/>
    <w:rPr>
      <w:rFonts w:ascii="Times New Roman" w:hAnsi="Times New Roman" w:eastAsia="宋体" w:cs="Times New Roman"/>
      <w:kern w:val="2"/>
      <w:sz w:val="21"/>
    </w:rPr>
  </w:style>
  <w:style w:type="character" w:customStyle="1" w:styleId="16">
    <w:name w:val="正文文本首行缩进 2 字符"/>
    <w:basedOn w:val="15"/>
    <w:link w:val="6"/>
    <w:qFormat/>
    <w:uiPriority w:val="0"/>
    <w:rPr>
      <w:rFonts w:ascii="宋体" w:hAnsi="宋体" w:eastAsia="仿宋_GB2312" w:cs="Times New Roman"/>
      <w:color w:val="000000"/>
      <w:kern w:val="2"/>
      <w:sz w:val="2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2013</Words>
  <Characters>11476</Characters>
  <Lines>95</Lines>
  <Paragraphs>26</Paragraphs>
  <TotalTime>760</TotalTime>
  <ScaleCrop>false</ScaleCrop>
  <LinksUpToDate>false</LinksUpToDate>
  <CharactersWithSpaces>13463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2022-01-08T00:32:00Z</dcterms:created>
  <dc:creator>微软用户</dc:creator>
  <cp:lastModifiedBy>伍光华</cp:lastModifiedBy>
  <dcterms:modified xsi:type="dcterms:W3CDTF">2022-01-09T07:45:26Z</dcterms:modified>
  <cp:revision>170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2052-11.1.0.11294</vt:lpwstr>
  </property>
</Properties>
</file>