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961"/>
        <w:gridCol w:w="745"/>
        <w:gridCol w:w="925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4"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1"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shd w:val="clear" w:color="auto" w:fill="auto"/>
            <w:vAlign w:val="center"/>
          </w:tcPr>
          <w:p>
            <w:pPr>
              <w:rPr>
                <w:rFonts w:hint="eastAsia" w:eastAsia="宋体"/>
                <w:sz w:val="24"/>
                <w:szCs w:val="24"/>
                <w:lang w:eastAsia="zh-CN"/>
              </w:rPr>
            </w:pPr>
            <w:r>
              <w:rPr>
                <w:rFonts w:hint="eastAsia"/>
                <w:sz w:val="24"/>
                <w:szCs w:val="24"/>
              </w:rPr>
              <w:t xml:space="preserve">受审核部门：领导层 </w:t>
            </w:r>
            <w:r>
              <w:rPr>
                <w:sz w:val="24"/>
                <w:szCs w:val="24"/>
              </w:rPr>
              <w:t xml:space="preserve">       </w:t>
            </w:r>
            <w:r>
              <w:rPr>
                <w:rFonts w:hint="eastAsia"/>
                <w:sz w:val="24"/>
                <w:szCs w:val="24"/>
              </w:rPr>
              <w:t xml:space="preserve">主管领导：崔家赫 </w:t>
            </w:r>
            <w:r>
              <w:rPr>
                <w:sz w:val="24"/>
                <w:szCs w:val="24"/>
              </w:rPr>
              <w:t xml:space="preserve">    </w:t>
            </w:r>
            <w:r>
              <w:rPr>
                <w:rFonts w:hint="eastAsia"/>
                <w:sz w:val="24"/>
                <w:szCs w:val="24"/>
              </w:rPr>
              <w:t>陪同人员：董</w:t>
            </w:r>
            <w:r>
              <w:rPr>
                <w:rFonts w:hint="eastAsia"/>
                <w:sz w:val="24"/>
                <w:szCs w:val="24"/>
                <w:lang w:val="en-US" w:eastAsia="zh-CN"/>
              </w:rPr>
              <w:t>鸣</w:t>
            </w:r>
          </w:p>
        </w:tc>
        <w:tc>
          <w:tcPr>
            <w:tcW w:w="1588"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4" w:type="dxa"/>
            <w:vMerge w:val="continue"/>
            <w:shd w:val="clear" w:color="auto" w:fill="auto"/>
            <w:vAlign w:val="center"/>
          </w:tcPr>
          <w:p/>
        </w:tc>
        <w:tc>
          <w:tcPr>
            <w:tcW w:w="961" w:type="dxa"/>
            <w:vMerge w:val="continue"/>
            <w:shd w:val="clear" w:color="auto" w:fill="auto"/>
            <w:vAlign w:val="center"/>
          </w:tcPr>
          <w:p/>
        </w:tc>
        <w:tc>
          <w:tcPr>
            <w:tcW w:w="10001" w:type="dxa"/>
            <w:gridSpan w:val="2"/>
            <w:shd w:val="clear" w:color="auto" w:fill="auto"/>
            <w:vAlign w:val="center"/>
          </w:tcPr>
          <w:p>
            <w:pPr>
              <w:spacing w:before="120"/>
            </w:pPr>
            <w:r>
              <w:rPr>
                <w:rFonts w:hint="eastAsia"/>
              </w:rPr>
              <w:t xml:space="preserve">审核员：肖新龙（远程）   </w:t>
            </w:r>
            <w:r>
              <w:t xml:space="preserve">            </w:t>
            </w:r>
            <w:r>
              <w:rPr>
                <w:rFonts w:hint="eastAsia"/>
              </w:rPr>
              <w:t>审核日期：</w:t>
            </w:r>
            <w:r>
              <w:t>202</w:t>
            </w:r>
            <w:r>
              <w:rPr>
                <w:rFonts w:hint="eastAsia"/>
              </w:rPr>
              <w:t>2-01-10</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4" w:type="dxa"/>
            <w:vMerge w:val="continue"/>
            <w:shd w:val="clear" w:color="auto" w:fill="auto"/>
            <w:vAlign w:val="center"/>
          </w:tcPr>
          <w:p/>
        </w:tc>
        <w:tc>
          <w:tcPr>
            <w:tcW w:w="961" w:type="dxa"/>
            <w:vMerge w:val="continue"/>
            <w:shd w:val="clear" w:color="auto" w:fill="auto"/>
            <w:vAlign w:val="center"/>
          </w:tcPr>
          <w:p/>
        </w:tc>
        <w:tc>
          <w:tcPr>
            <w:tcW w:w="10001" w:type="dxa"/>
            <w:gridSpan w:val="2"/>
            <w:shd w:val="clear" w:color="auto" w:fill="auto"/>
            <w:vAlign w:val="center"/>
          </w:tcPr>
          <w:p>
            <w:pPr>
              <w:spacing w:before="120"/>
            </w:pPr>
            <w:r>
              <w:rPr>
                <w:rFonts w:hint="eastAsia"/>
              </w:rPr>
              <w:t>审核条款：</w:t>
            </w:r>
          </w:p>
          <w:p>
            <w:pPr>
              <w:tabs>
                <w:tab w:val="left" w:pos="709"/>
              </w:tabs>
              <w:ind w:right="57"/>
              <w:jc w:val="left"/>
              <w:rPr>
                <w:szCs w:val="21"/>
              </w:rPr>
            </w:pPr>
            <w:r>
              <w:rPr>
                <w:rFonts w:hint="eastAsia"/>
                <w:szCs w:val="21"/>
              </w:rPr>
              <w:t>QMS：4.1 /4.2/ 4.3/ 4.4 /</w:t>
            </w:r>
            <w:r>
              <w:rPr>
                <w:szCs w:val="21"/>
              </w:rPr>
              <w:t>5.1</w:t>
            </w:r>
            <w:r>
              <w:rPr>
                <w:rFonts w:hint="eastAsia"/>
                <w:szCs w:val="21"/>
              </w:rPr>
              <w:t>/</w:t>
            </w:r>
            <w:r>
              <w:rPr>
                <w:szCs w:val="21"/>
              </w:rPr>
              <w:t>5.2</w:t>
            </w:r>
            <w:r>
              <w:rPr>
                <w:rFonts w:hint="eastAsia"/>
                <w:szCs w:val="21"/>
              </w:rPr>
              <w:t>/</w:t>
            </w:r>
            <w:r>
              <w:rPr>
                <w:szCs w:val="21"/>
              </w:rPr>
              <w:t>5.3</w:t>
            </w:r>
            <w:r>
              <w:rPr>
                <w:rFonts w:hint="eastAsia"/>
                <w:szCs w:val="21"/>
              </w:rPr>
              <w:t>/6.1/6.2/</w:t>
            </w:r>
            <w:r>
              <w:rPr>
                <w:szCs w:val="21"/>
              </w:rPr>
              <w:t>6.3</w:t>
            </w:r>
            <w:r>
              <w:rPr>
                <w:rFonts w:hint="eastAsia"/>
                <w:szCs w:val="21"/>
              </w:rPr>
              <w:t>/</w:t>
            </w:r>
            <w:r>
              <w:rPr>
                <w:szCs w:val="21"/>
              </w:rPr>
              <w:t>7</w:t>
            </w:r>
            <w:r>
              <w:rPr>
                <w:rFonts w:hint="eastAsia"/>
                <w:szCs w:val="21"/>
              </w:rPr>
              <w:t>.1.1/7.4/9.1.1/</w:t>
            </w:r>
            <w:r>
              <w:rPr>
                <w:szCs w:val="21"/>
              </w:rPr>
              <w:t>9.1.3</w:t>
            </w:r>
            <w:r>
              <w:rPr>
                <w:rFonts w:hint="eastAsia"/>
                <w:szCs w:val="21"/>
              </w:rPr>
              <w:t>/9.2/9.3/10.1/10.2</w:t>
            </w:r>
          </w:p>
          <w:p>
            <w:pPr>
              <w:shd w:val="clear" w:color="auto" w:fill="FFFFFF" w:themeFill="background1"/>
              <w:tabs>
                <w:tab w:val="left" w:pos="709"/>
              </w:tabs>
              <w:ind w:right="57"/>
              <w:jc w:val="left"/>
              <w:rPr>
                <w:szCs w:val="21"/>
              </w:rPr>
            </w:pPr>
            <w:r>
              <w:rPr>
                <w:rFonts w:hint="eastAsia"/>
                <w:szCs w:val="21"/>
              </w:rPr>
              <w:t>EMS：4.1/ 4.2/ 4.3 /4.4 /5.1/ 5.2/ 5.3 /6.1.1 /7.1 /7.4/7.5.1/9.2/9.3/10.1/10.2</w:t>
            </w:r>
          </w:p>
          <w:p>
            <w:pPr>
              <w:pStyle w:val="6"/>
              <w:shd w:val="clear" w:color="auto" w:fill="FFFFFF" w:themeFill="background1"/>
            </w:pPr>
            <w:r>
              <w:rPr>
                <w:rFonts w:hint="eastAsia"/>
                <w:sz w:val="21"/>
                <w:szCs w:val="21"/>
              </w:rPr>
              <w:t>OHS：4.1/ 4.2/ 4.3 /4.4 /5.1/ 5.2/ 5.3 /6.1.1 /7.1 /7.4/7.5.1/9.2/9.3/10.1/10.2</w:t>
            </w:r>
          </w:p>
          <w:p>
            <w:pPr>
              <w:pStyle w:val="6"/>
            </w:pP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理解组织及其环境</w:t>
            </w:r>
          </w:p>
        </w:tc>
        <w:tc>
          <w:tcPr>
            <w:tcW w:w="961" w:type="dxa"/>
            <w:vMerge w:val="restart"/>
            <w:shd w:val="clear" w:color="auto" w:fill="auto"/>
          </w:tcPr>
          <w:p>
            <w:r>
              <w:rPr>
                <w:rFonts w:hint="eastAsia"/>
              </w:rPr>
              <w:t xml:space="preserve">Q4.1 </w:t>
            </w:r>
          </w:p>
          <w:p>
            <w:pPr>
              <w:pStyle w:val="2"/>
            </w:pPr>
            <w:r>
              <w:rPr>
                <w:rFonts w:hint="eastAsia"/>
              </w:rPr>
              <w:t>E4.1</w:t>
            </w:r>
          </w:p>
          <w:p>
            <w:pPr>
              <w:pStyle w:val="2"/>
            </w:pPr>
            <w:r>
              <w:rPr>
                <w:rFonts w:hint="eastAsia"/>
              </w:rPr>
              <w:t>O4.1</w:t>
            </w:r>
          </w:p>
        </w:tc>
        <w:tc>
          <w:tcPr>
            <w:tcW w:w="745" w:type="dxa"/>
            <w:shd w:val="clear" w:color="auto" w:fill="auto"/>
          </w:tcPr>
          <w:p>
            <w:r>
              <w:rPr>
                <w:rFonts w:hint="eastAsia"/>
              </w:rPr>
              <w:t>文件名称</w:t>
            </w:r>
          </w:p>
        </w:tc>
        <w:tc>
          <w:tcPr>
            <w:tcW w:w="9256" w:type="dxa"/>
            <w:shd w:val="clear" w:color="auto" w:fill="auto"/>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《组织环境理解与分析管理程序》</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与最高管理者远程沟通：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 □</w:t>
                  </w:r>
                  <w:r>
                    <w:rPr>
                      <w:rFonts w:hint="eastAsia"/>
                      <w:color w:val="000000"/>
                      <w:szCs w:val="21"/>
                    </w:rPr>
                    <w:t>网络安全</w:t>
                  </w:r>
                  <w:r>
                    <w:rPr>
                      <w:rFonts w:hint="eastAsia"/>
                    </w:rPr>
                    <w:t>□监管</w:t>
                  </w:r>
                  <w:r>
                    <w:rPr>
                      <w:rFonts w:hint="eastAsia"/>
                      <w:color w:val="000000"/>
                      <w:szCs w:val="21"/>
                    </w:rPr>
                    <w:t xml:space="preserve"> </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r>
                    <w:rPr>
                      <w:rFonts w:hint="eastAsia"/>
                    </w:rPr>
                    <w:t>监管部门要求越来越严格；</w:t>
                  </w:r>
                </w:p>
                <w:p>
                  <w:r>
                    <w:rPr>
                      <w:rFonts w:hint="eastAsia"/>
                    </w:rPr>
                    <w:t>竹木胶合板产品的安全性风险较高，客户的要求比较严格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r>
                    <w:rPr>
                      <w:rFonts w:hint="eastAsia"/>
                    </w:rPr>
                    <w:t>生产管理：员工技能普遍较熟练</w:t>
                  </w:r>
                </w:p>
                <w:p>
                  <w:pPr>
                    <w:pStyle w:val="2"/>
                  </w:pPr>
                  <w:r>
                    <w:rPr>
                      <w:rFonts w:hint="eastAsia"/>
                    </w:rPr>
                    <w:t>员工操作不当，可能造成产品质量不合格、安全事故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r>
                    <w:rPr>
                      <w:rFonts w:hint="eastAsia"/>
                    </w:rPr>
                    <w:t>随着国家环保、安全执法力度加大，市场准入机制越来越健全，淘汰一批不良企业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r>
                    <w:rPr>
                      <w:rFonts w:hint="eastAsia"/>
                    </w:rPr>
                    <w:t>客户包括有国外客户，要求较高，销售压力较大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rPr>
                    <w:t>主要风险的说明</w:t>
                  </w:r>
                </w:p>
              </w:tc>
              <w:tc>
                <w:tcPr>
                  <w:tcW w:w="7230" w:type="dxa"/>
                </w:tcPr>
                <w:p>
                  <w:r>
                    <w:rPr>
                      <w:rFonts w:hint="eastAsia"/>
                    </w:rPr>
                    <w:t>受疫情影响，公司的出口销售及人员健康管理等控制难度增加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rPr>
                    <w:t>机遇的说明</w:t>
                  </w:r>
                </w:p>
              </w:tc>
              <w:tc>
                <w:tcPr>
                  <w:tcW w:w="7230" w:type="dxa"/>
                </w:tcPr>
                <w:p>
                  <w:pPr>
                    <w:rPr>
                      <w:highlight w:val="yellow"/>
                    </w:rPr>
                  </w:pPr>
                  <w:r>
                    <w:rPr>
                      <w:rFonts w:hint="eastAsia"/>
                    </w:rPr>
                    <w:t>政府监管严格，通过建立体系严格控制货源，确保质量安全，赢得更多客户</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ascii="宋体" w:hAnsi="宋体"/>
              </w:rPr>
              <w:t>《</w:t>
            </w:r>
            <w:r>
              <w:rPr>
                <w:rFonts w:hint="eastAsia"/>
              </w:rPr>
              <w:t>组织环境内外部因素识别表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其他——现场沟通</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理解相关方的需求和期望</w:t>
            </w:r>
          </w:p>
        </w:tc>
        <w:tc>
          <w:tcPr>
            <w:tcW w:w="961" w:type="dxa"/>
            <w:vMerge w:val="restart"/>
            <w:shd w:val="clear" w:color="auto" w:fill="auto"/>
          </w:tcPr>
          <w:p>
            <w:r>
              <w:rPr>
                <w:rFonts w:hint="eastAsia"/>
              </w:rPr>
              <w:t xml:space="preserve">Q4.2 </w:t>
            </w:r>
          </w:p>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sym w:font="Wingdings" w:char="00FE"/>
            </w:r>
            <w:r>
              <w:rPr>
                <w:rFonts w:hint="eastAsia"/>
              </w:rPr>
              <w:t>管理手册第4.2条款</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识别情况如下：</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 xml:space="preserve">宜兴市市场监督管理局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pPr>
                    <w:pStyle w:val="9"/>
                    <w:ind w:left="0" w:firstLine="0" w:firstLineChars="0"/>
                    <w:rPr>
                      <w:rFonts w:ascii="Times New Roman" w:hAnsi="Times New Roman"/>
                      <w:szCs w:val="20"/>
                    </w:rPr>
                  </w:pPr>
                  <w:r>
                    <w:rPr>
                      <w:rFonts w:hint="eastAsia" w:ascii="Times New Roman" w:hAnsi="Times New Roman"/>
                      <w:szCs w:val="20"/>
                    </w:rPr>
                    <w:t>湖州捷昌木业有限公司、嘉善明阳木业有限公司、泰克诺斯坚弗（上海）涂料有限公司、南浔力维包装有限公司等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组织的持续经营、明示质量采购要求</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r>
                    <w:rPr>
                      <w:rFonts w:hint="eastAsia"/>
                    </w:rPr>
                    <w:t>☑顾客</w:t>
                  </w:r>
                </w:p>
              </w:tc>
              <w:tc>
                <w:tcPr>
                  <w:tcW w:w="2701" w:type="dxa"/>
                </w:tcPr>
                <w:p>
                  <w:pPr>
                    <w:pStyle w:val="9"/>
                    <w:ind w:left="0" w:firstLine="0" w:firstLineChars="0"/>
                    <w:rPr>
                      <w:rFonts w:ascii="Times New Roman" w:hAnsi="Times New Roman"/>
                      <w:szCs w:val="20"/>
                    </w:rPr>
                  </w:pPr>
                  <w:r>
                    <w:rPr>
                      <w:rFonts w:ascii="Times New Roman" w:hAnsi="Times New Roman"/>
                      <w:szCs w:val="20"/>
                    </w:rPr>
                    <w:t>Bella Flooring Plus</w:t>
                  </w:r>
                  <w:r>
                    <w:rPr>
                      <w:rFonts w:hint="eastAsia" w:ascii="Times New Roman" w:hAnsi="Times New Roman"/>
                      <w:szCs w:val="20"/>
                    </w:rPr>
                    <w:t>、2</w:t>
                  </w:r>
                  <w:r>
                    <w:rPr>
                      <w:rFonts w:ascii="Times New Roman" w:hAnsi="Times New Roman"/>
                      <w:szCs w:val="20"/>
                    </w:rPr>
                    <w:t>184372 ONTARIO INC</w:t>
                  </w:r>
                  <w:r>
                    <w:rPr>
                      <w:rFonts w:hint="eastAsia" w:ascii="Times New Roman" w:hAnsi="Times New Roman"/>
                      <w:szCs w:val="20"/>
                    </w:rPr>
                    <w:t>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r>
                    <w:rPr>
                      <w:rFonts w:hint="eastAsia" w:ascii="宋体" w:hAnsi="宋体" w:cs="宋体"/>
                      <w:szCs w:val="21"/>
                    </w:rPr>
                    <w:t>普通大众</w:t>
                  </w:r>
                </w:p>
              </w:tc>
              <w:tc>
                <w:tcPr>
                  <w:tcW w:w="4729" w:type="dxa"/>
                </w:tcPr>
                <w:p>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☑不因产品质量问题停产，组织持续经营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股东</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☑不因产品质量问题停产，组织持续经营、盈利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不因产品质量影响周围人员的就业</w:t>
                  </w:r>
                </w:p>
                <w:p>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ascii="宋体" w:hAnsi="宋体"/>
              </w:rPr>
              <w:t>《风险和机遇识别及应对措施表》、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《相关方需求和期望表》、 </w:t>
            </w:r>
            <w:r>
              <w:rPr>
                <w:rFonts w:hint="eastAsia"/>
              </w:rPr>
              <w:sym w:font="Wingdings" w:char="00A8"/>
            </w:r>
            <w:r>
              <w:rPr>
                <w:rFonts w:hint="eastAsia"/>
              </w:rPr>
              <w:t xml:space="preserve">《年度业务计划》 </w:t>
            </w:r>
            <w:r>
              <w:rPr>
                <w:rFonts w:hint="eastAsia"/>
              </w:rPr>
              <w:sym w:font="Wingdings" w:char="00A8"/>
            </w:r>
            <w:r>
              <w:rPr>
                <w:rFonts w:hint="eastAsia"/>
              </w:rPr>
              <w:t>其他——现场沟通</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理解相关方的需求和期望</w:t>
            </w:r>
          </w:p>
        </w:tc>
        <w:tc>
          <w:tcPr>
            <w:tcW w:w="961" w:type="dxa"/>
            <w:vMerge w:val="restart"/>
            <w:shd w:val="clear" w:color="auto" w:fill="auto"/>
          </w:tcPr>
          <w:p>
            <w:r>
              <w:rPr>
                <w:rFonts w:hint="eastAsia"/>
              </w:rPr>
              <w:t xml:space="preserve">E4.2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A8"/>
            </w:r>
            <w:r>
              <w:rPr>
                <w:rFonts w:hint="eastAsia"/>
              </w:rPr>
              <w:t>《相关方需求和期望控制程序 》、</w:t>
            </w:r>
            <w:r>
              <w:rPr/>
              <w:sym w:font="Wingdings" w:char="00FE"/>
            </w:r>
            <w:r>
              <w:rPr>
                <w:rFonts w:hint="eastAsia"/>
              </w:rPr>
              <w:t>管理手册第4.2条款</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495" w:type="dxa"/>
                </w:tcPr>
                <w:p>
                  <w:r>
                    <w:rPr>
                      <w:rFonts w:hint="eastAsia"/>
                    </w:rPr>
                    <w:t>宜兴市</w:t>
                  </w:r>
                  <w:r>
                    <w:rPr>
                      <w:rFonts w:hint="eastAsia"/>
                      <w:szCs w:val="22"/>
                    </w:rPr>
                    <w:t>生态环境局</w:t>
                  </w:r>
                </w:p>
              </w:tc>
              <w:tc>
                <w:tcPr>
                  <w:tcW w:w="3611" w:type="dxa"/>
                </w:tcPr>
                <w:p>
                  <w:r>
                    <w:rPr>
                      <w:rFonts w:hint="eastAsia"/>
                    </w:rPr>
                    <w:t>☑遵守环境相关的法律法规</w:t>
                  </w:r>
                </w:p>
                <w:p>
                  <w:r>
                    <w:rPr>
                      <w:rFonts w:hint="eastAsia"/>
                    </w:rPr>
                    <w:t>☑达标排放</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2495" w:type="dxa"/>
                </w:tcPr>
                <w:p>
                  <w:r>
                    <w:rPr>
                      <w:rFonts w:hint="eastAsia" w:ascii="宋体" w:hAnsi="宋体" w:cs="宋体"/>
                      <w:sz w:val="24"/>
                      <w:szCs w:val="24"/>
                    </w:rPr>
                    <w:t>湖州捷昌木业有限公司、嘉善明阳木业有限公司、泰克诺斯坚弗（上海）涂料有限公司、南浔力维包装有限公司等</w:t>
                  </w:r>
                </w:p>
              </w:tc>
              <w:tc>
                <w:tcPr>
                  <w:tcW w:w="3611" w:type="dxa"/>
                </w:tcPr>
                <w:p>
                  <w:r>
                    <w:rPr>
                      <w:rFonts w:hint="eastAsia"/>
                    </w:rPr>
                    <w:t>☑组织的持续经营、</w:t>
                  </w:r>
                </w:p>
                <w:p>
                  <w:r>
                    <w:rPr>
                      <w:rFonts w:hint="eastAsia"/>
                    </w:rPr>
                    <w:t>☑明示采购的环保要求</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r>
                    <w:rPr>
                      <w:rFonts w:ascii="宋体" w:hAnsi="宋体" w:cs="宋体"/>
                      <w:sz w:val="24"/>
                      <w:szCs w:val="24"/>
                    </w:rPr>
                    <w:t>Bella Flooring Plus</w:t>
                  </w:r>
                  <w:r>
                    <w:rPr>
                      <w:rFonts w:hint="eastAsia" w:ascii="宋体" w:hAnsi="宋体" w:cs="宋体"/>
                      <w:sz w:val="24"/>
                      <w:szCs w:val="24"/>
                    </w:rPr>
                    <w:t>、2</w:t>
                  </w:r>
                  <w:r>
                    <w:rPr>
                      <w:rFonts w:ascii="宋体" w:hAnsi="宋体" w:cs="宋体"/>
                      <w:sz w:val="24"/>
                      <w:szCs w:val="24"/>
                    </w:rPr>
                    <w:t>184372 ONTARIO INC</w:t>
                  </w:r>
                  <w:r>
                    <w:rPr>
                      <w:rFonts w:hint="eastAsia" w:ascii="宋体" w:hAnsi="宋体" w:cs="宋体"/>
                      <w:sz w:val="24"/>
                      <w:szCs w:val="24"/>
                    </w:rPr>
                    <w:t>等</w:t>
                  </w:r>
                </w:p>
              </w:tc>
              <w:tc>
                <w:tcPr>
                  <w:tcW w:w="3611" w:type="dxa"/>
                </w:tcPr>
                <w:p>
                  <w:pPr>
                    <w:ind w:left="210" w:hanging="210" w:hangingChars="100"/>
                  </w:pPr>
                  <w:r>
                    <w:rPr>
                      <w:rFonts w:hint="eastAsia"/>
                    </w:rPr>
                    <w:t>☑不因环保问题影响按时按质按量交付产品或服务；</w:t>
                  </w:r>
                </w:p>
                <w:p>
                  <w:r>
                    <w:rPr>
                      <w:rFonts w:hint="eastAsia"/>
                    </w:rPr>
                    <w:t>☑提供明确的MSDS</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w:t>
                  </w:r>
                </w:p>
              </w:tc>
              <w:tc>
                <w:tcPr>
                  <w:tcW w:w="3611" w:type="dxa"/>
                </w:tcPr>
                <w:p>
                  <w:r>
                    <w:rPr>
                      <w:rFonts w:hint="eastAsia"/>
                    </w:rPr>
                    <w:t>☑不因使用（如耗电）和最终处置带来麻烦</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2495" w:type="dxa"/>
                </w:tcPr>
                <w:p>
                  <w:pPr>
                    <w:rPr>
                      <w:szCs w:val="24"/>
                    </w:rPr>
                  </w:pPr>
                  <w:r>
                    <w:rPr>
                      <w:rFonts w:hint="eastAsia"/>
                      <w:szCs w:val="24"/>
                    </w:rPr>
                    <w:t>——</w:t>
                  </w:r>
                </w:p>
              </w:tc>
              <w:tc>
                <w:tcPr>
                  <w:tcW w:w="3611" w:type="dxa"/>
                </w:tcPr>
                <w:p>
                  <w:r>
                    <w:rPr>
                      <w:rFonts w:hint="eastAsia"/>
                    </w:rPr>
                    <w:t>☑不因环保问题停产，组织持续经营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95" w:type="dxa"/>
                </w:tcPr>
                <w:p>
                  <w:r>
                    <w:rPr>
                      <w:rFonts w:hint="eastAsia"/>
                    </w:rPr>
                    <w:t>个人</w:t>
                  </w:r>
                  <w:r>
                    <w:t>合</w:t>
                  </w:r>
                  <w:r>
                    <w:rPr>
                      <w:rFonts w:hint="eastAsia"/>
                    </w:rPr>
                    <w:t xml:space="preserve">资 </w:t>
                  </w:r>
                </w:p>
              </w:tc>
              <w:tc>
                <w:tcPr>
                  <w:tcW w:w="3611" w:type="dxa"/>
                </w:tcPr>
                <w:p>
                  <w:r>
                    <w:rPr>
                      <w:rFonts w:hint="eastAsia"/>
                    </w:rPr>
                    <w:t>☑不因环保问题停产，组织持续经营、盈利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r>
                    <w:rPr>
                      <w:rFonts w:hint="eastAsia" w:ascii="宋体" w:hAnsi="宋体" w:cs="宋体"/>
                      <w:szCs w:val="21"/>
                    </w:rPr>
                    <w:t>周边企业和居民</w:t>
                  </w:r>
                </w:p>
              </w:tc>
              <w:tc>
                <w:tcPr>
                  <w:tcW w:w="3611" w:type="dxa"/>
                </w:tcPr>
                <w:p>
                  <w:r>
                    <w:rPr>
                      <w:rFonts w:hint="eastAsia"/>
                    </w:rPr>
                    <w:t>☑不因环保问题影响污染周围的环境</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相关方需求和期望表</w:t>
            </w:r>
            <w:r>
              <w:rPr>
                <w:rFonts w:hint="eastAsia" w:ascii="宋体" w:hAnsi="宋体"/>
              </w:rPr>
              <w:t>》</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2164" w:type="dxa"/>
            <w:vMerge w:val="restart"/>
            <w:shd w:val="clear" w:color="auto" w:fill="auto"/>
          </w:tcPr>
          <w:p>
            <w:pPr>
              <w:rPr>
                <w:rFonts w:ascii="Arial" w:hAnsi="Arial"/>
              </w:rPr>
            </w:pPr>
            <w:bookmarkStart w:id="0" w:name="_Toc17985659"/>
            <w:r>
              <w:rPr>
                <w:rFonts w:hint="eastAsia" w:ascii="Arial" w:hAnsi="Arial"/>
              </w:rPr>
              <w:t>理解工作人员和其他相关方的需求和期望</w:t>
            </w:r>
            <w:bookmarkEnd w:id="0"/>
          </w:p>
          <w:p>
            <w:pPr>
              <w:rPr>
                <w:rFonts w:ascii="Arial" w:hAnsi="Arial"/>
              </w:rPr>
            </w:pPr>
          </w:p>
        </w:tc>
        <w:tc>
          <w:tcPr>
            <w:tcW w:w="961" w:type="dxa"/>
            <w:vMerge w:val="restart"/>
            <w:shd w:val="clear" w:color="auto" w:fill="auto"/>
          </w:tcPr>
          <w:p>
            <w:r>
              <w:rPr>
                <w:rFonts w:hint="eastAsia"/>
              </w:rPr>
              <w:t>O4.2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A8"/>
            </w:r>
            <w:r>
              <w:rPr>
                <w:rFonts w:hint="eastAsia"/>
              </w:rPr>
              <w:t>《相关方需求和期望控制程序 》、</w:t>
            </w:r>
            <w:r>
              <w:rPr/>
              <w:sym w:font="Wingdings" w:char="00FE"/>
            </w:r>
            <w:r>
              <w:rPr>
                <w:rFonts w:hint="eastAsia"/>
              </w:rPr>
              <w:t>管理手册第4.2条款</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11"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szCs w:val="21"/>
              </w:rPr>
            </w:pPr>
            <w:r>
              <w:rPr>
                <w:rFonts w:hint="eastAsia"/>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379" w:type="dxa"/>
                </w:tcPr>
                <w:p>
                  <w:r>
                    <w:rPr>
                      <w:rFonts w:hint="eastAsia"/>
                    </w:rPr>
                    <w:t>相关方名称举例</w:t>
                  </w:r>
                </w:p>
              </w:tc>
              <w:tc>
                <w:tcPr>
                  <w:tcW w:w="3727" w:type="dxa"/>
                </w:tcPr>
                <w:p>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2379" w:type="dxa"/>
                </w:tcPr>
                <w:p>
                  <w:r>
                    <w:rPr>
                      <w:rFonts w:hint="eastAsia"/>
                    </w:rPr>
                    <w:t>如：宜兴市应急管理局宜兴市消防大队等</w:t>
                  </w:r>
                </w:p>
              </w:tc>
              <w:tc>
                <w:tcPr>
                  <w:tcW w:w="3727" w:type="dxa"/>
                </w:tcPr>
                <w:p>
                  <w:r>
                    <w:rPr>
                      <w:rFonts w:hint="eastAsia"/>
                    </w:rPr>
                    <w:t>☑遵守职业健康安全相关的法律法规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宋体" w:hAnsi="宋体" w:cs="宋体"/>
                      <w:sz w:val="24"/>
                      <w:szCs w:val="24"/>
                    </w:rPr>
                  </w:pPr>
                  <w:r>
                    <w:rPr>
                      <w:rFonts w:ascii="Segoe UI Emoji" w:hAnsi="Segoe UI Emoji" w:cs="Segoe UI Emoji"/>
                      <w:sz w:val="24"/>
                      <w:szCs w:val="24"/>
                    </w:rPr>
                    <w:t>☑</w:t>
                  </w:r>
                  <w:r>
                    <w:rPr>
                      <w:rFonts w:hint="eastAsia" w:ascii="宋体" w:hAnsi="宋体" w:cs="宋体"/>
                      <w:sz w:val="24"/>
                      <w:szCs w:val="24"/>
                    </w:rPr>
                    <w:t>供方</w:t>
                  </w:r>
                </w:p>
              </w:tc>
              <w:tc>
                <w:tcPr>
                  <w:tcW w:w="2379" w:type="dxa"/>
                </w:tcPr>
                <w:p>
                  <w:pPr>
                    <w:rPr>
                      <w:rFonts w:ascii="宋体" w:hAnsi="宋体" w:cs="宋体"/>
                      <w:sz w:val="24"/>
                      <w:szCs w:val="24"/>
                    </w:rPr>
                  </w:pPr>
                  <w:r>
                    <w:rPr>
                      <w:rFonts w:hint="eastAsia" w:ascii="宋体" w:hAnsi="宋体" w:cs="宋体"/>
                      <w:sz w:val="24"/>
                      <w:szCs w:val="24"/>
                    </w:rPr>
                    <w:t>湖州捷昌木业有限公司、嘉善明阳木业有限公司、泰克诺斯坚弗（上海）涂料有限公司、南浔力维包装有限公司等</w:t>
                  </w:r>
                </w:p>
              </w:tc>
              <w:tc>
                <w:tcPr>
                  <w:tcW w:w="3727" w:type="dxa"/>
                </w:tcPr>
                <w:p>
                  <w:pPr>
                    <w:rPr>
                      <w:rFonts w:ascii="Segoe UI Emoji" w:hAnsi="Segoe UI Emoji" w:cs="Segoe UI Emoji"/>
                    </w:rPr>
                  </w:pPr>
                  <w:r>
                    <w:rPr>
                      <w:rFonts w:ascii="Segoe UI Emoji" w:hAnsi="Segoe UI Emoji" w:cs="Segoe UI Emoji"/>
                    </w:rPr>
                    <w:t>☑</w:t>
                  </w:r>
                  <w:r>
                    <w:rPr>
                      <w:rFonts w:hint="eastAsia" w:ascii="Segoe UI Emoji" w:hAnsi="Segoe UI Emoji" w:cs="Segoe UI Emoji"/>
                    </w:rPr>
                    <w:t>稳定、持续的进行双赢合作；</w:t>
                  </w:r>
                </w:p>
                <w:p>
                  <w:pPr>
                    <w:rPr>
                      <w:rFonts w:ascii="Segoe UI Emoji" w:hAnsi="Segoe UI Emoji" w:cs="Segoe UI Emoji"/>
                    </w:rPr>
                  </w:pPr>
                  <w:r>
                    <w:rPr>
                      <w:rFonts w:ascii="Segoe UI Emoji" w:hAnsi="Segoe UI Emoji" w:cs="Segoe UI Emoji"/>
                    </w:rPr>
                    <w:t>☑</w:t>
                  </w:r>
                  <w:r>
                    <w:rPr>
                      <w:rFonts w:hint="eastAsia" w:ascii="Segoe UI Emoji" w:hAnsi="Segoe UI Emoji" w:cs="Segoe UI Emoji"/>
                    </w:rPr>
                    <w:t>通过深度合作降低双方成本以提高供应链的竞争力</w:t>
                  </w:r>
                </w:p>
                <w:p>
                  <w:pPr>
                    <w:rPr>
                      <w:rFonts w:ascii="Segoe UI Emoji" w:hAnsi="Segoe UI Emoji" w:cs="Segoe UI Emoji"/>
                    </w:rPr>
                  </w:pPr>
                  <w:r>
                    <w:rPr>
                      <w:rFonts w:ascii="Segoe UI Emoji" w:hAnsi="Segoe UI Emoji" w:cs="Segoe UI Emoji"/>
                    </w:rPr>
                    <w:t>☑</w:t>
                  </w:r>
                  <w:r>
                    <w:rPr>
                      <w:rFonts w:hint="eastAsia" w:ascii="Segoe UI Emoji" w:hAnsi="Segoe UI Emoji" w:cs="Segoe UI Emoji"/>
                    </w:rPr>
                    <w:t>明示采购的职业健康安全要求</w:t>
                  </w:r>
                </w:p>
              </w:tc>
              <w:tc>
                <w:tcPr>
                  <w:tcW w:w="1324" w:type="dxa"/>
                </w:tcPr>
                <w:p>
                  <w:pPr>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是  </w:t>
                  </w:r>
                  <w:r>
                    <w:rPr>
                      <w:rFonts w:hint="eastAsia" w:ascii="宋体" w:hAnsi="宋体" w:cs="宋体"/>
                      <w:sz w:val="24"/>
                      <w:szCs w:val="24"/>
                    </w:rPr>
                    <w:sym w:font="Wingdings" w:char="00A8"/>
                  </w: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宋体" w:hAnsi="宋体" w:cs="宋体"/>
                      <w:sz w:val="24"/>
                      <w:szCs w:val="24"/>
                    </w:rPr>
                  </w:pPr>
                  <w:r>
                    <w:rPr>
                      <w:rFonts w:ascii="Segoe UI Emoji" w:hAnsi="Segoe UI Emoji" w:cs="Segoe UI Emoji"/>
                      <w:sz w:val="24"/>
                      <w:szCs w:val="24"/>
                    </w:rPr>
                    <w:t>☑</w:t>
                  </w:r>
                  <w:r>
                    <w:rPr>
                      <w:rFonts w:hint="eastAsia" w:ascii="宋体" w:hAnsi="宋体" w:cs="宋体"/>
                      <w:sz w:val="24"/>
                      <w:szCs w:val="24"/>
                    </w:rPr>
                    <w:t>顾客</w:t>
                  </w:r>
                </w:p>
              </w:tc>
              <w:tc>
                <w:tcPr>
                  <w:tcW w:w="2379" w:type="dxa"/>
                </w:tcPr>
                <w:p>
                  <w:pPr>
                    <w:jc w:val="left"/>
                    <w:rPr>
                      <w:rFonts w:ascii="宋体" w:hAnsi="宋体" w:cs="宋体"/>
                      <w:sz w:val="24"/>
                      <w:szCs w:val="24"/>
                    </w:rPr>
                  </w:pPr>
                  <w:r>
                    <w:rPr>
                      <w:rFonts w:ascii="宋体" w:hAnsi="宋体" w:cs="宋体"/>
                      <w:sz w:val="24"/>
                      <w:szCs w:val="24"/>
                    </w:rPr>
                    <w:t>Bella Flooring Plus</w:t>
                  </w:r>
                  <w:r>
                    <w:rPr>
                      <w:rFonts w:hint="eastAsia" w:ascii="宋体" w:hAnsi="宋体" w:cs="宋体"/>
                      <w:sz w:val="24"/>
                      <w:szCs w:val="24"/>
                    </w:rPr>
                    <w:t>、2</w:t>
                  </w:r>
                  <w:r>
                    <w:rPr>
                      <w:rFonts w:ascii="宋体" w:hAnsi="宋体" w:cs="宋体"/>
                      <w:sz w:val="24"/>
                      <w:szCs w:val="24"/>
                    </w:rPr>
                    <w:t>184372 ONTARIO INC</w:t>
                  </w:r>
                  <w:r>
                    <w:rPr>
                      <w:rFonts w:hint="eastAsia" w:ascii="宋体" w:hAnsi="宋体" w:cs="宋体"/>
                      <w:sz w:val="24"/>
                      <w:szCs w:val="24"/>
                    </w:rPr>
                    <w:t>等</w:t>
                  </w:r>
                </w:p>
              </w:tc>
              <w:tc>
                <w:tcPr>
                  <w:tcW w:w="3727" w:type="dxa"/>
                </w:tcPr>
                <w:p>
                  <w:r>
                    <w:rPr>
                      <w:rFonts w:ascii="Segoe UI Emoji" w:hAnsi="Segoe UI Emoji" w:cs="Segoe UI Emoji"/>
                    </w:rPr>
                    <w:t>☑</w:t>
                  </w:r>
                  <w:r>
                    <w:rPr>
                      <w:rFonts w:hint="eastAsia"/>
                    </w:rPr>
                    <w:t>不因职业健康安全问题影响按时按质按量交付产品或服务；</w:t>
                  </w:r>
                </w:p>
                <w:p>
                  <w:pPr>
                    <w:pStyle w:val="2"/>
                    <w:rPr>
                      <w:bCs w:val="0"/>
                      <w:spacing w:val="0"/>
                    </w:rPr>
                  </w:pPr>
                  <w:r>
                    <w:rPr>
                      <w:rFonts w:ascii="Segoe UI Emoji" w:hAnsi="Segoe UI Emoji" w:cs="Segoe UI Emoji"/>
                      <w:bCs w:val="0"/>
                      <w:spacing w:val="0"/>
                    </w:rPr>
                    <w:t>☑</w:t>
                  </w:r>
                  <w:r>
                    <w:rPr>
                      <w:rFonts w:hint="eastAsia"/>
                      <w:bCs w:val="0"/>
                      <w:spacing w:val="0"/>
                    </w:rPr>
                    <w:t>应建立有效的内部管理体系，并有效运行；</w:t>
                  </w:r>
                </w:p>
              </w:tc>
              <w:tc>
                <w:tcPr>
                  <w:tcW w:w="1324" w:type="dxa"/>
                </w:tcPr>
                <w:p>
                  <w:pPr>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 xml:space="preserve">是  </w:t>
                  </w:r>
                  <w:r>
                    <w:rPr>
                      <w:rFonts w:hint="eastAsia" w:ascii="宋体" w:hAnsi="宋体" w:cs="宋体"/>
                      <w:sz w:val="24"/>
                      <w:szCs w:val="24"/>
                    </w:rPr>
                    <w:sym w:font="Wingdings" w:char="00A8"/>
                  </w: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tcPr>
                <w:p>
                  <w:pPr>
                    <w:rPr>
                      <w:szCs w:val="24"/>
                    </w:rPr>
                  </w:pPr>
                  <w:r>
                    <w:rPr>
                      <w:rFonts w:hint="eastAsia"/>
                    </w:rPr>
                    <w:t>☑员工</w:t>
                  </w:r>
                </w:p>
              </w:tc>
              <w:tc>
                <w:tcPr>
                  <w:tcW w:w="2379" w:type="dxa"/>
                </w:tcPr>
                <w:p>
                  <w:r>
                    <w:rPr>
                      <w:rFonts w:hint="eastAsia"/>
                    </w:rPr>
                    <w:t>——</w:t>
                  </w:r>
                </w:p>
              </w:tc>
              <w:tc>
                <w:tcPr>
                  <w:tcW w:w="3727" w:type="dxa"/>
                </w:tcPr>
                <w:p>
                  <w:r>
                    <w:rPr>
                      <w:rFonts w:hint="eastAsia"/>
                    </w:rPr>
                    <w:t>☑不发生工伤和职业病，</w:t>
                  </w:r>
                </w:p>
                <w:p>
                  <w:r>
                    <w:rPr>
                      <w:rFonts w:hint="eastAsia"/>
                    </w:rPr>
                    <w:t>☑组织持续经营</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379" w:type="dxa"/>
                </w:tcPr>
                <w:p>
                  <w:r>
                    <w:rPr>
                      <w:rFonts w:hint="eastAsia"/>
                    </w:rPr>
                    <w:t>股东</w:t>
                  </w:r>
                </w:p>
              </w:tc>
              <w:tc>
                <w:tcPr>
                  <w:tcW w:w="3727" w:type="dxa"/>
                  <w:shd w:val="clear" w:color="auto" w:fill="auto"/>
                </w:tcPr>
                <w:p>
                  <w:r>
                    <w:rPr>
                      <w:rFonts w:hint="eastAsia"/>
                    </w:rPr>
                    <w:t>☑不因职业健康安全问题停产，组织持续经营、盈利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☑承包方</w:t>
                  </w:r>
                </w:p>
              </w:tc>
              <w:tc>
                <w:tcPr>
                  <w:tcW w:w="2379" w:type="dxa"/>
                </w:tcPr>
                <w:p>
                  <w:r>
                    <w:rPr>
                      <w:rFonts w:hint="eastAsia" w:ascii="宋体" w:hAnsi="宋体" w:cs="宋体"/>
                      <w:szCs w:val="21"/>
                    </w:rPr>
                    <w:t>周边企业和居民</w:t>
                  </w:r>
                </w:p>
              </w:tc>
              <w:tc>
                <w:tcPr>
                  <w:tcW w:w="3727" w:type="dxa"/>
                  <w:shd w:val="clear" w:color="auto" w:fill="auto"/>
                </w:tcPr>
                <w:p>
                  <w:r>
                    <w:rPr>
                      <w:rFonts w:hint="eastAsia"/>
                    </w:rPr>
                    <w:t>☑不发生职业健康安全事故，良好安全的合作机会□</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379" w:type="dxa"/>
                </w:tcPr>
                <w:p/>
              </w:tc>
              <w:tc>
                <w:tcPr>
                  <w:tcW w:w="3727"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szCs w:val="21"/>
              </w:rPr>
            </w:pPr>
          </w:p>
          <w:p>
            <w:r>
              <w:rPr>
                <w:rFonts w:hint="eastAsia"/>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相关方需求和期望表</w:t>
            </w:r>
            <w:r>
              <w:rPr>
                <w:rFonts w:hint="eastAsia" w:ascii="宋体" w:hAnsi="宋体"/>
              </w:rPr>
              <w:t>》</w:t>
            </w:r>
            <w:r>
              <w:rPr>
                <w:rFonts w:hint="eastAsia"/>
              </w:rPr>
              <w:t xml:space="preserve">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确定管理体系的范围</w:t>
            </w:r>
          </w:p>
        </w:tc>
        <w:tc>
          <w:tcPr>
            <w:tcW w:w="961" w:type="dxa"/>
            <w:vMerge w:val="restart"/>
            <w:shd w:val="clear" w:color="auto" w:fill="auto"/>
          </w:tcPr>
          <w:p>
            <w:r>
              <w:rPr>
                <w:rFonts w:hint="eastAsia"/>
              </w:rPr>
              <w:t>Q4.3</w:t>
            </w:r>
          </w:p>
          <w:p>
            <w:pPr>
              <w:pStyle w:val="6"/>
            </w:pPr>
            <w:r>
              <w:rPr>
                <w:rFonts w:hint="eastAsia"/>
              </w:rPr>
              <w:t>E4.3</w:t>
            </w:r>
          </w:p>
          <w:p>
            <w:pPr>
              <w:pStyle w:val="6"/>
            </w:pPr>
            <w:r>
              <w:rPr>
                <w:rFonts w:hint="eastAsia"/>
              </w:rPr>
              <w:t>O4.3</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管理手册第4.3章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t>竹木胶合板的生产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bookmarkStart w:id="1" w:name="审核范围"/>
                  <w:r>
                    <w:t>Q：竹木胶合板的生产</w:t>
                  </w:r>
                </w:p>
                <w:p>
                  <w:r>
                    <w:t>E：竹木胶合板的生产所涉及场所的相关环境管理活动</w:t>
                  </w:r>
                </w:p>
                <w:p>
                  <w:pPr>
                    <w:autoSpaceDE w:val="0"/>
                    <w:autoSpaceDN w:val="0"/>
                    <w:adjustRightInd w:val="0"/>
                    <w:jc w:val="left"/>
                  </w:pPr>
                  <w:r>
                    <w:t>O：竹木胶合板的生产所涉及场所的相关职业健康安全管理活动</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vAlign w:val="center"/>
                </w:tcPr>
                <w:p>
                  <w:pPr>
                    <w:rPr>
                      <w:rFonts w:asciiTheme="minorEastAsia" w:hAnsiTheme="minorEastAsia" w:eastAsiaTheme="minorEastAsia"/>
                      <w:sz w:val="20"/>
                    </w:rPr>
                  </w:pPr>
                  <w:r>
                    <w:rPr>
                      <w:rFonts w:asciiTheme="minorEastAsia" w:hAnsiTheme="minorEastAsia" w:eastAsiaTheme="minorEastAsia"/>
                      <w:sz w:val="20"/>
                    </w:rPr>
                    <w:t>宜兴市太华镇桥涯村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asciiTheme="minorEastAsia" w:hAnsiTheme="minorEastAsia" w:eastAsiaTheme="minorEastAsia"/>
                      <w:sz w:val="20"/>
                    </w:rPr>
                  </w:pPr>
                  <w:r>
                    <w:rPr>
                      <w:rFonts w:asciiTheme="minorEastAsia" w:hAnsiTheme="minorEastAsia" w:eastAsiaTheme="minorEastAsia"/>
                      <w:sz w:val="20"/>
                    </w:rPr>
                    <w:t>宜兴市太华镇桥涯村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021.5.10</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ascii="宋体" w:hAnsi="宋体"/>
                    </w:rPr>
                    <w:t xml:space="preserve"> </w:t>
                  </w:r>
                  <w:r>
                    <w:rPr>
                      <w:rFonts w:hint="eastAsia"/>
                    </w:rPr>
                    <w:t>近一年以来</w:t>
                  </w:r>
                </w:p>
                <w:p>
                  <w:r>
                    <w:rPr>
                      <w:rFonts w:hint="eastAsia"/>
                    </w:rPr>
                    <w:sym w:font="Wingdings" w:char="00A8"/>
                  </w:r>
                  <w:r>
                    <w:rPr>
                      <w:rFonts w:hint="eastAsia"/>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w:t>
                  </w:r>
                  <w:r>
                    <w:rPr>
                      <w:rFonts w:hint="eastAsia"/>
                    </w:rPr>
                    <w:sym w:font="Wingdings 2" w:char="0052"/>
                  </w:r>
                  <w:r>
                    <w:rPr>
                      <w:rFonts w:hint="eastAsia"/>
                    </w:rPr>
                    <w:t>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pPr>
              <w:jc w:val="left"/>
            </w:pPr>
            <w:r>
              <w:rPr>
                <w:rFonts w:hint="eastAsia"/>
              </w:rPr>
              <w:t>质量管理体系及其过程</w:t>
            </w:r>
          </w:p>
        </w:tc>
        <w:tc>
          <w:tcPr>
            <w:tcW w:w="961" w:type="dxa"/>
            <w:vMerge w:val="restart"/>
            <w:shd w:val="clear" w:color="auto" w:fill="auto"/>
          </w:tcPr>
          <w:p>
            <w:r>
              <w:rPr>
                <w:rFonts w:hint="eastAsia"/>
              </w:rPr>
              <w:t xml:space="preserve">Q4.4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highlight w:val="lightGray"/>
              </w:rPr>
              <w:t>QMS：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生产/服务控制 □其他</w:t>
            </w:r>
          </w:p>
          <w:p>
            <w:pPr>
              <w:pStyle w:val="6"/>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pPr>
            <w:r>
              <w:rPr>
                <w:rFonts w:hint="eastAsia"/>
              </w:rPr>
              <w:t xml:space="preserve">□人员培训 □其他 </w:t>
            </w:r>
            <w:r>
              <w:t xml:space="preserve"> </w:t>
            </w:r>
            <w:r>
              <w:rPr>
                <w:rFonts w:hint="eastAsia"/>
              </w:rPr>
              <w:sym w:font="Wingdings 2" w:char="0052"/>
            </w:r>
            <w:r>
              <w:rPr>
                <w:rFonts w:hint="eastAsia"/>
              </w:rPr>
              <w:t>其他—固废处置、运输</w:t>
            </w:r>
          </w:p>
          <w:p>
            <w:pPr>
              <w:spacing w:before="40" w:after="40"/>
              <w:rPr>
                <w:highlight w:val="yellow"/>
              </w:rPr>
            </w:pPr>
          </w:p>
          <w:p>
            <w:pPr>
              <w:spacing w:before="40" w:after="40"/>
              <w:rPr>
                <w:highlight w:val="cyan"/>
              </w:rPr>
            </w:pPr>
            <w:r>
              <w:rPr>
                <w:rFonts w:hint="eastAsia"/>
                <w:lang w:val="en-GB"/>
              </w:rPr>
              <w:t>组织通过</w:t>
            </w:r>
            <w:r>
              <w:rPr>
                <w:rFonts w:hint="eastAsia"/>
              </w:rPr>
              <w:t>质量</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环境管理体系</w:t>
            </w:r>
          </w:p>
        </w:tc>
        <w:tc>
          <w:tcPr>
            <w:tcW w:w="961" w:type="dxa"/>
            <w:vMerge w:val="restart"/>
            <w:shd w:val="clear" w:color="auto" w:fill="auto"/>
          </w:tcPr>
          <w:p>
            <w:r>
              <w:rPr>
                <w:rFonts w:hint="eastAsia"/>
              </w:rPr>
              <w:t xml:space="preserve">E4.4 </w:t>
            </w:r>
          </w:p>
          <w:p>
            <w:pPr>
              <w:pStyle w:val="2"/>
            </w:pPr>
            <w:r>
              <w:rPr>
                <w:rFonts w:hint="eastAsia"/>
              </w:rPr>
              <w:t>O4.</w:t>
            </w:r>
            <w:r>
              <w:t>4</w:t>
            </w:r>
          </w:p>
        </w:tc>
        <w:tc>
          <w:tcPr>
            <w:tcW w:w="745" w:type="dxa"/>
            <w:shd w:val="clear" w:color="auto" w:fill="auto"/>
          </w:tcPr>
          <w:p>
            <w:r>
              <w:rPr>
                <w:rFonts w:hint="eastAsia"/>
              </w:rPr>
              <w:t>文件名称</w:t>
            </w:r>
          </w:p>
        </w:tc>
        <w:tc>
          <w:tcPr>
            <w:tcW w:w="9256" w:type="dxa"/>
            <w:shd w:val="clear" w:color="auto" w:fill="auto"/>
          </w:tcPr>
          <w:p>
            <w:r>
              <w:rPr>
                <w:rFonts w:hint="eastAsia"/>
              </w:rPr>
              <w:t>如：☑管理手册第4.4章和□《过程清单》</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spacing w:before="40" w:after="40"/>
              <w:rPr>
                <w:lang w:val="en-GB"/>
              </w:rPr>
            </w:pPr>
            <w:r>
              <w:rPr>
                <w:rFonts w:hint="eastAsia"/>
              </w:rPr>
              <w:t>组织考虑了内外部问题和相关方期望对职业健康安全管理体系/环境管理体系的过程进行了确认，对输入、输出、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highlight w:val="lightGray"/>
              </w:rPr>
            </w:pPr>
            <w:r>
              <w:rPr>
                <w:rFonts w:hint="eastAsia"/>
                <w:highlight w:val="lightGray"/>
              </w:rPr>
              <w:t>EMS：</w:t>
            </w:r>
          </w:p>
          <w:p>
            <w:pPr>
              <w:spacing w:before="40" w:after="40"/>
            </w:pPr>
            <w:r>
              <w:rPr>
                <w:rFonts w:hint="eastAsia"/>
              </w:rPr>
              <w:t>影响运行的重要</w:t>
            </w:r>
            <w:r>
              <w:rPr>
                <w:rFonts w:hint="eastAsia"/>
                <w:lang w:val="en-GB"/>
              </w:rPr>
              <w:t>过程如下</w:t>
            </w:r>
            <w:r>
              <w:rPr>
                <w:rFonts w:hint="eastAsia"/>
              </w:rPr>
              <w:t>:</w:t>
            </w:r>
            <w:r>
              <w:rPr>
                <w:rFonts w:hint="eastAsia"/>
                <w:lang w:val="en-GB"/>
              </w:rPr>
              <w:t xml:space="preserve"> （</w:t>
            </w:r>
            <w:r>
              <w:rPr>
                <w:rFonts w:hint="eastAsia"/>
              </w:rPr>
              <w:t>不必全选</w:t>
            </w:r>
            <w:r>
              <w:rPr>
                <w:rFonts w:hint="eastAsia"/>
                <w:lang w:val="en-GB"/>
              </w:rPr>
              <w:t>）</w:t>
            </w:r>
          </w:p>
          <w:p>
            <w:pPr>
              <w:spacing w:before="40" w:after="40"/>
            </w:pPr>
            <w:r>
              <w:rPr>
                <w:rFonts w:hint="eastAsia"/>
              </w:rPr>
              <w:t>☑消防安全控制 ☑污染物排放控制 ☑人员能力管理 ☑危化品管理 ☑特种设备管理 □其他</w:t>
            </w:r>
          </w:p>
          <w:p>
            <w:pPr>
              <w:spacing w:before="40" w:after="40"/>
            </w:pPr>
            <w:r>
              <w:rPr>
                <w:rFonts w:hint="eastAsia"/>
              </w:rPr>
              <w:t>□放射线探伤</w:t>
            </w:r>
          </w:p>
          <w:p>
            <w:pPr>
              <w:spacing w:before="40" w:after="40"/>
            </w:pPr>
            <w:r>
              <w:rPr>
                <w:rFonts w:hint="eastAsia"/>
              </w:rPr>
              <w:t>影响体系运行的外包</w:t>
            </w:r>
            <w:r>
              <w:rPr>
                <w:rFonts w:hint="eastAsia"/>
                <w:lang w:val="en-GB"/>
              </w:rPr>
              <w:t>过程如下</w:t>
            </w:r>
            <w:r>
              <w:rPr>
                <w:rFonts w:hint="eastAsia"/>
              </w:rPr>
              <w:t>:</w:t>
            </w:r>
            <w:r>
              <w:rPr>
                <w:rFonts w:hint="eastAsia"/>
                <w:lang w:val="en-GB"/>
              </w:rPr>
              <w:t xml:space="preserve"> （</w:t>
            </w:r>
            <w:r>
              <w:rPr>
                <w:rFonts w:hint="eastAsia"/>
              </w:rPr>
              <w:t>根据实际情况选择</w:t>
            </w:r>
            <w:r>
              <w:rPr>
                <w:rFonts w:hint="eastAsia"/>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 xml:space="preserve">□人员培训 </w:t>
            </w:r>
            <w:r>
              <w:rPr>
                <w:rFonts w:hint="eastAsia"/>
              </w:rPr>
              <w:sym w:font="Wingdings 2" w:char="0052"/>
            </w:r>
            <w:r>
              <w:rPr>
                <w:rFonts w:hint="eastAsia"/>
              </w:rPr>
              <w:t>其他——固废处置、运输</w:t>
            </w:r>
          </w:p>
          <w:p>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p>
            <w:pPr>
              <w:pStyle w:val="2"/>
            </w:pPr>
            <w:r>
              <w:rPr>
                <w:rFonts w:hint="eastAsia"/>
                <w:highlight w:val="lightGray"/>
              </w:rPr>
              <w:t>OHSMS：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☑消防安全控制 ☑用电安全控制 ☑人员能力管理 ☑危化品管理 ☑特种设备管理 □其他</w:t>
            </w:r>
          </w:p>
          <w:p>
            <w:pPr>
              <w:spacing w:before="40" w:after="40"/>
            </w:pPr>
            <w:r>
              <w:rPr>
                <w:rFonts w:hint="eastAsia"/>
              </w:rPr>
              <w:t>□放射线探伤   ☑安全作业控制</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□建筑施工 □危化品贮存 □XXX加工过程 □放射线探伤 □危险品运输 □设备维修</w:t>
            </w:r>
          </w:p>
          <w:p>
            <w:pPr>
              <w:spacing w:before="40" w:after="40"/>
            </w:pPr>
            <w:r>
              <w:rPr>
                <w:rFonts w:hint="eastAsia"/>
              </w:rPr>
              <w:t xml:space="preserve">□人员培训 </w:t>
            </w:r>
            <w:r>
              <w:rPr>
                <w:rFonts w:hint="eastAsia"/>
              </w:rPr>
              <w:sym w:font="Wingdings 2" w:char="0052"/>
            </w:r>
            <w:r>
              <w:rPr>
                <w:rFonts w:hint="eastAsia"/>
              </w:rPr>
              <w:t>其他——固废处置、运输</w:t>
            </w:r>
          </w:p>
          <w:p>
            <w:pPr>
              <w:pStyle w:val="2"/>
            </w:pPr>
            <w:r>
              <w:rPr>
                <w:rFonts w:hint="eastAsia"/>
                <w:lang w:val="en-GB"/>
              </w:rPr>
              <w:t>组织通过</w:t>
            </w:r>
            <w:r>
              <w:rPr>
                <w:rFonts w:hint="eastAsia" w:ascii="Arial" w:hAnsi="Arial"/>
              </w:rPr>
              <w:t>职业健康安全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ascii="Arial" w:hAnsi="Arial"/>
              </w:rPr>
              <w:t>职业健康安全</w:t>
            </w:r>
            <w:r>
              <w:rPr>
                <w:rFonts w:hint="eastAsia"/>
              </w:rPr>
              <w:t>管理体系覆盖的过程</w:t>
            </w:r>
            <w:r>
              <w:rPr>
                <w:rFonts w:hint="eastAsia"/>
                <w:lang w:val="en-GB"/>
              </w:rPr>
              <w:t>和活动</w:t>
            </w:r>
            <w:r>
              <w:rPr>
                <w:rFonts w:hint="eastAsia"/>
              </w:rPr>
              <w:t>。</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领导作用与承诺</w:t>
            </w:r>
          </w:p>
        </w:tc>
        <w:tc>
          <w:tcPr>
            <w:tcW w:w="961" w:type="dxa"/>
            <w:vMerge w:val="restart"/>
            <w:shd w:val="clear" w:color="auto" w:fill="auto"/>
          </w:tcPr>
          <w:p>
            <w:r>
              <w:rPr>
                <w:rFonts w:hint="eastAsia"/>
              </w:rPr>
              <w:t>QEO5.1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管理手册第5.1章和“总经理岗位职责”</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highlight w:val="lightGray"/>
              </w:rPr>
            </w:pPr>
            <w:r>
              <w:rPr>
                <w:rFonts w:hint="eastAsia"/>
                <w:highlight w:val="lightGray"/>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2"/>
              <w:rPr>
                <w:color w:val="000000"/>
                <w:szCs w:val="21"/>
                <w:u w:val="single"/>
              </w:rPr>
            </w:pPr>
          </w:p>
          <w:p>
            <w:pPr>
              <w:pStyle w:val="2"/>
              <w:rPr>
                <w:color w:val="000000"/>
                <w:szCs w:val="21"/>
                <w:highlight w:val="lightGray"/>
              </w:rPr>
            </w:pPr>
            <w:r>
              <w:rPr>
                <w:rFonts w:hint="eastAsia"/>
                <w:color w:val="000000"/>
                <w:szCs w:val="21"/>
                <w:highlight w:val="lightGray"/>
              </w:rPr>
              <w:t>EMS</w:t>
            </w:r>
          </w:p>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对环境管理体系的有效性负责； </w:t>
            </w:r>
          </w:p>
          <w:p>
            <w:pPr>
              <w:rPr>
                <w:color w:val="000000"/>
                <w:szCs w:val="21"/>
              </w:rPr>
            </w:pPr>
            <w:r>
              <w:rPr>
                <w:rFonts w:hint="eastAsia"/>
                <w:color w:val="000000"/>
                <w:szCs w:val="21"/>
              </w:rPr>
              <w:sym w:font="Wingdings" w:char="00FE"/>
            </w:r>
            <w:r>
              <w:rPr>
                <w:rFonts w:hint="eastAsia"/>
                <w:color w:val="000000"/>
                <w:szCs w:val="21"/>
              </w:rPr>
              <w:t xml:space="preserve">确保建立环境方针和环境目标，并与组织的战略方向和所处的环境相一致； </w:t>
            </w:r>
          </w:p>
          <w:p>
            <w:pPr>
              <w:rPr>
                <w:color w:val="000000"/>
                <w:szCs w:val="21"/>
              </w:rPr>
            </w:pPr>
            <w:r>
              <w:rPr>
                <w:rFonts w:hint="eastAsia"/>
                <w:color w:val="000000"/>
                <w:szCs w:val="21"/>
              </w:rPr>
              <w:sym w:font="Wingdings" w:char="00FE"/>
            </w:r>
            <w:r>
              <w:rPr>
                <w:rFonts w:hint="eastAsia"/>
                <w:color w:val="000000"/>
                <w:szCs w:val="21"/>
              </w:rPr>
              <w:t xml:space="preserve">确保将环境管理体系要求融入组织的业务过程；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确保可获得环境管理体系所需的资源； </w:t>
            </w:r>
          </w:p>
          <w:p>
            <w:pPr>
              <w:rPr>
                <w:color w:val="000000"/>
                <w:szCs w:val="21"/>
              </w:rPr>
            </w:pPr>
            <w:r>
              <w:rPr>
                <w:rFonts w:hint="eastAsia"/>
                <w:color w:val="000000"/>
                <w:szCs w:val="21"/>
              </w:rPr>
              <w:sym w:font="Wingdings" w:char="00FE"/>
            </w:r>
            <w:r>
              <w:rPr>
                <w:rFonts w:hint="eastAsia"/>
                <w:color w:val="000000"/>
                <w:szCs w:val="21"/>
              </w:rPr>
              <w:t>就有效的环境管理的重要性和符合质量管理体系要求的重要性绩效沟通；</w:t>
            </w:r>
          </w:p>
          <w:p>
            <w:pPr>
              <w:rPr>
                <w:color w:val="000000"/>
                <w:szCs w:val="21"/>
              </w:rPr>
            </w:pPr>
            <w:r>
              <w:rPr>
                <w:rFonts w:hint="eastAsia"/>
                <w:color w:val="000000"/>
                <w:szCs w:val="21"/>
              </w:rPr>
              <w:sym w:font="Wingdings" w:char="00FE"/>
            </w:r>
            <w:r>
              <w:rPr>
                <w:rFonts w:hint="eastAsia"/>
                <w:color w:val="000000"/>
                <w:szCs w:val="21"/>
              </w:rPr>
              <w:t>确保环境管理体系实现其预期结果；</w:t>
            </w:r>
          </w:p>
          <w:p>
            <w:pPr>
              <w:rPr>
                <w:color w:val="000000"/>
                <w:szCs w:val="21"/>
              </w:rPr>
            </w:pPr>
            <w:r>
              <w:rPr>
                <w:rFonts w:hint="eastAsia"/>
                <w:color w:val="000000"/>
                <w:szCs w:val="21"/>
              </w:rPr>
              <w:sym w:font="Wingdings" w:char="00FE"/>
            </w:r>
            <w:r>
              <w:rPr>
                <w:rFonts w:hint="eastAsia"/>
                <w:color w:val="000000"/>
                <w:szCs w:val="21"/>
              </w:rPr>
              <w:t>指导并支持员对环境管理体系的有效性做出贡献；</w:t>
            </w:r>
          </w:p>
          <w:p>
            <w:pPr>
              <w:rPr>
                <w:color w:val="000000"/>
                <w:szCs w:val="21"/>
              </w:rPr>
            </w:pPr>
            <w:r>
              <w:rPr>
                <w:rFonts w:hint="eastAsia"/>
                <w:color w:val="000000"/>
                <w:szCs w:val="21"/>
              </w:rPr>
              <w:sym w:font="Wingdings" w:char="00FE"/>
            </w:r>
            <w:r>
              <w:rPr>
                <w:rFonts w:hint="eastAsia"/>
                <w:color w:val="000000"/>
                <w:szCs w:val="21"/>
              </w:rPr>
              <w:t>促进推动改进；</w:t>
            </w:r>
          </w:p>
          <w:p>
            <w:pPr>
              <w:rPr>
                <w:color w:val="000000"/>
                <w:szCs w:val="21"/>
              </w:rPr>
            </w:pPr>
            <w:r>
              <w:rPr>
                <w:rFonts w:hint="eastAsia"/>
                <w:color w:val="000000"/>
                <w:szCs w:val="21"/>
              </w:rPr>
              <w:sym w:font="Wingdings" w:char="00FE"/>
            </w:r>
            <w:r>
              <w:rPr>
                <w:rFonts w:hint="eastAsia"/>
                <w:color w:val="000000"/>
                <w:szCs w:val="21"/>
              </w:rPr>
              <w:t>支持其他相关管理人员在其职责范围内证实其领导作用。</w:t>
            </w:r>
          </w:p>
          <w:p>
            <w:pPr>
              <w:rPr>
                <w:b/>
                <w:bCs/>
                <w:color w:val="000000"/>
                <w:szCs w:val="21"/>
              </w:rPr>
            </w:pPr>
          </w:p>
          <w:p>
            <w:pPr>
              <w:pStyle w:val="2"/>
              <w:rPr>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2"/>
              <w:rPr>
                <w:color w:val="000000"/>
                <w:szCs w:val="21"/>
                <w:u w:val="single"/>
              </w:rPr>
            </w:pPr>
          </w:p>
          <w:p>
            <w:pPr>
              <w:pStyle w:val="2"/>
              <w:rPr>
                <w:color w:val="000000"/>
                <w:szCs w:val="21"/>
                <w:highlight w:val="lightGray"/>
              </w:rPr>
            </w:pPr>
            <w:r>
              <w:rPr>
                <w:rFonts w:hint="eastAsia"/>
                <w:color w:val="000000"/>
                <w:szCs w:val="21"/>
                <w:highlight w:val="lightGray"/>
              </w:rPr>
              <w:t>OHSMS</w:t>
            </w:r>
          </w:p>
          <w:p>
            <w:pPr>
              <w:rPr>
                <w:szCs w:val="21"/>
              </w:rPr>
            </w:pPr>
            <w:r>
              <w:rPr>
                <w:rFonts w:hint="eastAsia"/>
                <w:szCs w:val="21"/>
              </w:rPr>
              <w:t>与最高管理者沟通其领导作用与承诺：</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确保职业健康安全方针和相关</w:t>
            </w:r>
            <w:r>
              <w:t>职业健康安全</w:t>
            </w:r>
            <w:r>
              <w:rPr>
                <w:rFonts w:hint="eastAsia"/>
              </w:rPr>
              <w:t>目标得以建立，</w:t>
            </w:r>
            <w:r>
              <w:t>并</w:t>
            </w:r>
            <w:r>
              <w:rPr>
                <w:rFonts w:hint="eastAsia"/>
              </w:rPr>
              <w:t>与组织战略方向相一致；</w:t>
            </w:r>
          </w:p>
          <w:p>
            <w:pPr>
              <w:rPr>
                <w:szCs w:val="21"/>
              </w:rPr>
            </w:pPr>
            <w:r>
              <w:rPr>
                <w:rFonts w:hint="eastAsia"/>
                <w:szCs w:val="21"/>
              </w:rPr>
              <w:sym w:font="Wingdings" w:char="00FE"/>
            </w:r>
            <w:r>
              <w:rPr>
                <w:rFonts w:hint="eastAsia"/>
              </w:rPr>
              <w:t>确保将职业健康安全管理体系要求融入组织业务过程之中；</w:t>
            </w:r>
            <w:r>
              <w:rPr>
                <w:rFonts w:hint="eastAsia"/>
                <w:szCs w:val="21"/>
              </w:rPr>
              <w:t xml:space="preserve">  </w:t>
            </w:r>
          </w:p>
          <w:p>
            <w:pPr>
              <w:rPr>
                <w:szCs w:val="21"/>
              </w:rPr>
            </w:pPr>
            <w:r>
              <w:rPr>
                <w:rFonts w:hint="eastAsia"/>
                <w:szCs w:val="21"/>
              </w:rPr>
              <w:sym w:font="Wingdings" w:char="00FE"/>
            </w:r>
            <w:r>
              <w:rPr>
                <w:rFonts w:hint="eastAsia"/>
              </w:rPr>
              <w:t>确保可获得建立、实施、保持和改进职业健康安全管理体系所需的资源；</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pPr>
              <w:rPr>
                <w:szCs w:val="21"/>
              </w:rPr>
            </w:pPr>
            <w:r>
              <w:rPr>
                <w:rFonts w:hint="eastAsia"/>
                <w:szCs w:val="21"/>
              </w:rPr>
              <w:sym w:font="Wingdings" w:char="00FE"/>
            </w:r>
            <w:r>
              <w:rPr>
                <w:rFonts w:hint="eastAsia"/>
              </w:rPr>
              <w:t>指导并支持人员为职业健康安全管理体系的有效性做出贡献</w:t>
            </w:r>
            <w:r>
              <w:rPr>
                <w:rFonts w:hint="eastAsia"/>
                <w:szCs w:val="21"/>
              </w:rPr>
              <w:t>；</w:t>
            </w:r>
          </w:p>
          <w:p>
            <w:pPr>
              <w:rPr>
                <w:szCs w:val="21"/>
              </w:rPr>
            </w:pPr>
            <w:r>
              <w:rPr>
                <w:rFonts w:hint="eastAsia"/>
                <w:szCs w:val="21"/>
              </w:rPr>
              <w:sym w:font="Wingdings" w:char="00FE"/>
            </w:r>
            <w:r>
              <w:rPr>
                <w:rFonts w:hint="eastAsia"/>
              </w:rPr>
              <w:t>确保并促进持续改进</w:t>
            </w:r>
            <w:r>
              <w:rPr>
                <w:rFonts w:hint="eastAsia"/>
                <w:szCs w:val="21"/>
              </w:rPr>
              <w:t>；</w:t>
            </w:r>
          </w:p>
          <w:p>
            <w:r>
              <w:rPr>
                <w:rFonts w:hint="eastAsia"/>
                <w:szCs w:val="21"/>
              </w:rPr>
              <w:sym w:font="Wingdings" w:char="00FE"/>
            </w:r>
            <w:r>
              <w:rPr>
                <w:rFonts w:hint="eastAsia"/>
              </w:rPr>
              <w:t>支持其他相关管理人员证实在其职责范围内</w:t>
            </w:r>
            <w:r>
              <w:t>的</w:t>
            </w:r>
            <w:r>
              <w:rPr>
                <w:rFonts w:hint="eastAsia"/>
              </w:rPr>
              <w:t>领导作用；</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rPr>
                <w:b/>
                <w:bCs/>
                <w:szCs w:val="21"/>
              </w:rPr>
            </w:pPr>
          </w:p>
          <w:p>
            <w:pPr>
              <w:pStyle w:val="2"/>
              <w:rPr>
                <w:color w:val="000000"/>
                <w:szCs w:val="21"/>
                <w:u w:val="single"/>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以顾客为关注焦点</w:t>
            </w:r>
          </w:p>
          <w:p/>
        </w:tc>
        <w:tc>
          <w:tcPr>
            <w:tcW w:w="961"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管理方针</w:t>
            </w:r>
          </w:p>
        </w:tc>
        <w:tc>
          <w:tcPr>
            <w:tcW w:w="961" w:type="dxa"/>
            <w:vMerge w:val="restart"/>
            <w:shd w:val="clear" w:color="auto" w:fill="auto"/>
          </w:tcPr>
          <w:p>
            <w:r>
              <w:rPr>
                <w:rFonts w:hint="eastAsia"/>
              </w:rPr>
              <w:t>Q5.2</w:t>
            </w:r>
          </w:p>
          <w:p>
            <w:pPr>
              <w:pStyle w:val="2"/>
            </w:pPr>
            <w:r>
              <w:rPr>
                <w:rFonts w:hint="eastAsia"/>
              </w:rPr>
              <w:t>E5.2</w:t>
            </w:r>
          </w:p>
          <w:p>
            <w:pPr>
              <w:pStyle w:val="2"/>
            </w:pPr>
            <w:r>
              <w:rPr>
                <w:rFonts w:hint="eastAsia"/>
              </w:rPr>
              <w:t>O5.2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管理手册第5.2章和“0.4 管理体系方针颁布令”</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ind w:firstLine="420" w:firstLineChars="200"/>
              <w:rPr>
                <w:u w:val="single"/>
              </w:rPr>
            </w:pPr>
            <w:r>
              <w:rPr>
                <w:rFonts w:hint="eastAsia"/>
                <w:u w:val="single"/>
              </w:rPr>
              <w:t>质量方针：品质求精，服务一流，持续满足顾客的期望与需求。</w:t>
            </w:r>
          </w:p>
          <w:p>
            <w:pPr>
              <w:ind w:firstLine="420" w:firstLineChars="200"/>
              <w:rPr>
                <w:u w:val="single"/>
              </w:rPr>
            </w:pPr>
            <w:r>
              <w:rPr>
                <w:rFonts w:hint="eastAsia"/>
                <w:u w:val="single"/>
              </w:rPr>
              <w:t>环境方针：遵纪守法、预防污染、优化环境。</w:t>
            </w:r>
          </w:p>
          <w:p>
            <w:pPr>
              <w:ind w:firstLine="420" w:firstLineChars="200"/>
              <w:rPr>
                <w:u w:val="single"/>
              </w:rPr>
            </w:pPr>
            <w:r>
              <w:rPr>
                <w:rFonts w:hint="eastAsia"/>
                <w:u w:val="single"/>
              </w:rPr>
              <w:t>安全方针：预防为主，确保职业健康安全；科学管理，实现绩效持续改进。</w:t>
            </w:r>
          </w:p>
          <w:p>
            <w:pPr>
              <w:pStyle w:val="2"/>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质量方针合理恰当并为相应的质量目标提供了框架。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w:t>
            </w:r>
            <w:r>
              <w:rPr>
                <w:color w:val="000000"/>
              </w:rPr>
              <w:t>适合于组织的宗旨和所处的环境</w:t>
            </w:r>
            <w:r>
              <w:rPr>
                <w:color w:val="000000"/>
                <w:lang w:val="zh-CN" w:bidi="zh-CN"/>
              </w:rPr>
              <w:t>.包括</w:t>
            </w:r>
            <w:r>
              <w:rPr>
                <w:color w:val="000000"/>
              </w:rPr>
              <w:t>其活动、产品和服务的性质、规模和环境影响</w:t>
            </w:r>
            <w:r>
              <w:rPr>
                <w:rFonts w:hint="eastAsia"/>
                <w:color w:val="000000"/>
              </w:rPr>
              <w:t>（EMS）</w:t>
            </w:r>
          </w:p>
          <w:p>
            <w:r>
              <w:rPr>
                <w:rFonts w:hint="eastAsia"/>
              </w:rPr>
              <w:t>☑</w:t>
            </w:r>
            <w:r>
              <w:rPr>
                <w:color w:val="000000"/>
              </w:rPr>
              <w:t>为制定环境目标提供框架</w:t>
            </w:r>
            <w:r>
              <w:rPr>
                <w:rFonts w:hint="eastAsia"/>
                <w:lang w:val="en-GB"/>
              </w:rPr>
              <w:t>。</w:t>
            </w:r>
            <w:r>
              <w:rPr>
                <w:rFonts w:hint="eastAsia"/>
                <w:color w:val="000000"/>
              </w:rPr>
              <w:t>（EMS）</w:t>
            </w:r>
          </w:p>
          <w:p>
            <w:r>
              <w:rPr>
                <w:rFonts w:hint="eastAsia"/>
              </w:rPr>
              <w:t>☑</w:t>
            </w:r>
            <w:r>
              <w:rPr>
                <w:color w:val="000000"/>
              </w:rPr>
              <w:t>包括保护环境的承诺，其中包含污染预防及其他与组织所处环境有关的特定承诺</w:t>
            </w:r>
            <w:r>
              <w:rPr>
                <w:rFonts w:hint="eastAsia"/>
              </w:rPr>
              <w:t xml:space="preserve">； </w:t>
            </w:r>
            <w:r>
              <w:rPr>
                <w:rFonts w:hint="eastAsia"/>
                <w:color w:val="000000"/>
              </w:rPr>
              <w:t>（EMS）</w:t>
            </w:r>
          </w:p>
          <w:p>
            <w:r>
              <w:rPr>
                <w:rFonts w:hint="eastAsia"/>
              </w:rPr>
              <w:t>☑包括持续改进质量管理体系的承诺</w:t>
            </w:r>
            <w:r>
              <w:rPr>
                <w:rFonts w:hint="eastAsia"/>
                <w:color w:val="000000"/>
              </w:rPr>
              <w:t>（EMS）</w:t>
            </w:r>
          </w:p>
          <w:p>
            <w:r>
              <w:rPr>
                <w:rFonts w:hint="eastAsia"/>
              </w:rPr>
              <w:t>☑</w:t>
            </w:r>
            <w:r>
              <w:rPr>
                <w:color w:val="000000"/>
              </w:rPr>
              <w:t>包括履行其合规义务的承诺</w:t>
            </w:r>
            <w:r>
              <w:rPr>
                <w:rFonts w:hint="eastAsia"/>
                <w:color w:val="000000"/>
              </w:rPr>
              <w:t>（EMS）</w:t>
            </w:r>
          </w:p>
          <w:p>
            <w:r>
              <w:rPr>
                <w:rFonts w:hint="eastAsia"/>
              </w:rPr>
              <w:t>☑</w:t>
            </w:r>
            <w:r>
              <w:rPr>
                <w:color w:val="000000"/>
              </w:rPr>
              <w:t>包括持续改进环境管理体系以提升环境绩效的</w:t>
            </w:r>
            <w:r>
              <w:rPr>
                <w:color w:val="000000"/>
                <w:lang w:val="zh-CN" w:bidi="zh-CN"/>
              </w:rPr>
              <w:t>承诺</w:t>
            </w:r>
            <w:r>
              <w:rPr>
                <w:rFonts w:hint="eastAsia"/>
                <w:color w:val="000000"/>
              </w:rPr>
              <w:t>（EMS）</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职业健康安全风险和职业健康安全机遇的特性（OHSMS）</w:t>
            </w:r>
          </w:p>
          <w:p>
            <w:r>
              <w:rPr>
                <w:rFonts w:hint="eastAsia"/>
              </w:rPr>
              <w:sym w:font="Wingdings 2" w:char="0052"/>
            </w:r>
            <w:r>
              <w:rPr>
                <w:rFonts w:hint="eastAsia"/>
              </w:rPr>
              <w:t>包括为制定职业健康安全目标提供框架； （OHSMS）</w:t>
            </w:r>
          </w:p>
          <w:p>
            <w:r>
              <w:rPr>
                <w:rFonts w:hint="eastAsia"/>
              </w:rPr>
              <w:t>☑包括满足法律法规要求和其他要求的承诺（OHSMS）</w:t>
            </w:r>
          </w:p>
          <w:p>
            <w:r>
              <w:rPr>
                <w:rFonts w:hint="eastAsia"/>
              </w:rPr>
              <w:t>☑包括消除危险源和降低职业健康安全风险的承诺（OHSMS）</w:t>
            </w:r>
          </w:p>
          <w:p>
            <w:r>
              <w:rPr>
                <w:rFonts w:hint="eastAsia"/>
              </w:rPr>
              <w:t>☑包括持续改进职业健康安全管理体系的承诺（OHSMS）</w:t>
            </w:r>
          </w:p>
          <w:p>
            <w:r>
              <w:rPr>
                <w:rFonts w:hint="eastAsia"/>
              </w:rPr>
              <w:t>☑包括工作人员及其代表（若有）的协商和参与的承诺（OHSMS）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其他——合同、招投标书、告知书等</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组织的岗位、职责和权限</w:t>
            </w:r>
          </w:p>
          <w:p/>
        </w:tc>
        <w:tc>
          <w:tcPr>
            <w:tcW w:w="961" w:type="dxa"/>
            <w:vMerge w:val="restart"/>
            <w:shd w:val="clear" w:color="auto" w:fill="auto"/>
          </w:tcPr>
          <w:p>
            <w:r>
              <w:rPr>
                <w:rFonts w:hint="eastAsia"/>
              </w:rPr>
              <w:t>QEO5.3</w:t>
            </w:r>
          </w:p>
          <w:p>
            <w:pPr>
              <w:pStyle w:val="6"/>
            </w:pP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最高管理者确定了组织架构及相关岗位的职责、权限，并进行了全员的沟通和理解；</w:t>
            </w:r>
          </w:p>
          <w:p>
            <w:r>
              <w:rPr>
                <w:rFonts w:hint="eastAsia"/>
              </w:rPr>
              <w:t>如：QMS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行政部</w:t>
                  </w:r>
                </w:p>
              </w:tc>
              <w:tc>
                <w:tcPr>
                  <w:tcW w:w="2261" w:type="dxa"/>
                </w:tcPr>
                <w:p>
                  <w:r>
                    <w:rPr>
                      <w:rFonts w:hint="eastAsia"/>
                    </w:rPr>
                    <w:t>生产/服务设计开发过程</w:t>
                  </w:r>
                </w:p>
              </w:tc>
              <w:tc>
                <w:tcPr>
                  <w:tcW w:w="22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供销部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生产/服务放行过程</w:t>
                  </w:r>
                </w:p>
              </w:tc>
              <w:tc>
                <w:tcPr>
                  <w:tcW w:w="2261" w:type="dxa"/>
                </w:tcPr>
                <w:p>
                  <w:r>
                    <w:rPr>
                      <w:rFonts w:hint="eastAsi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r>
              <w:rPr>
                <w:rFonts w:hint="eastAsia"/>
              </w:rPr>
              <w:t>向最高管理者汇报，</w:t>
            </w:r>
            <w:r>
              <w:rPr>
                <w:rFonts w:hint="eastAsia"/>
              </w:rPr>
              <w:sym w:font="Wingdings" w:char="00FE"/>
            </w:r>
            <w:r>
              <w:rPr>
                <w:rFonts w:hint="eastAsia"/>
              </w:rPr>
              <w:t>管理者代表：</w:t>
            </w:r>
            <w:r>
              <w:rPr>
                <w:rFonts w:hint="eastAsia"/>
                <w:u w:val="single"/>
              </w:rPr>
              <w:t xml:space="preserve"> 陈永利先生   </w:t>
            </w:r>
            <w:r>
              <w:rPr>
                <w:rFonts w:hint="eastAsia"/>
              </w:rPr>
              <w:sym w:font="Wingdings" w:char="00A8"/>
            </w:r>
            <w:r>
              <w:rPr>
                <w:rFonts w:hint="eastAsia"/>
              </w:rPr>
              <w:t>各部门</w:t>
            </w:r>
          </w:p>
          <w:p/>
          <w:p/>
          <w:p>
            <w:r>
              <w:rPr>
                <w:rFonts w:hint="eastAsia"/>
              </w:rPr>
              <w:t>EMS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环境管理体系策划和推动</w:t>
                  </w:r>
                </w:p>
              </w:tc>
              <w:tc>
                <w:tcPr>
                  <w:tcW w:w="2261" w:type="dxa"/>
                </w:tcPr>
                <w:p>
                  <w:r>
                    <w:rPr>
                      <w:rFonts w:hint="eastAsia"/>
                    </w:rPr>
                    <w:t>质检部</w:t>
                  </w:r>
                </w:p>
              </w:tc>
              <w:tc>
                <w:tcPr>
                  <w:tcW w:w="2261" w:type="dxa"/>
                </w:tcPr>
                <w:p>
                  <w:r>
                    <w:rPr>
                      <w:rFonts w:hint="eastAsia"/>
                    </w:rPr>
                    <w:t>生产/服务设计开发过程</w:t>
                  </w:r>
                </w:p>
              </w:tc>
              <w:tc>
                <w:tcPr>
                  <w:tcW w:w="22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公用工程过程</w:t>
                  </w:r>
                </w:p>
              </w:tc>
              <w:tc>
                <w:tcPr>
                  <w:tcW w:w="2261" w:type="dxa"/>
                </w:tcPr>
                <w:p>
                  <w:r>
                    <w:rPr>
                      <w:rFonts w:hint="eastAsia"/>
                    </w:rPr>
                    <w:t>生产部、行政部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产品/服务放行</w:t>
                  </w:r>
                </w:p>
              </w:tc>
              <w:tc>
                <w:tcPr>
                  <w:tcW w:w="2261" w:type="dxa"/>
                </w:tcPr>
                <w:p>
                  <w:r>
                    <w:rPr>
                      <w:rFonts w:hint="eastAsi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消防</w:t>
                  </w:r>
                </w:p>
              </w:tc>
              <w:tc>
                <w:tcPr>
                  <w:tcW w:w="2261" w:type="dxa"/>
                </w:tcPr>
                <w:p>
                  <w:r>
                    <w:rPr>
                      <w:rFonts w:hint="eastAsia"/>
                    </w:rPr>
                    <w:t>行政部</w:t>
                  </w:r>
                </w:p>
              </w:tc>
              <w:tc>
                <w:tcPr>
                  <w:tcW w:w="2261" w:type="dxa"/>
                </w:tcPr>
                <w:p/>
              </w:tc>
              <w:tc>
                <w:tcPr>
                  <w:tcW w:w="2261" w:type="dxa"/>
                </w:tcPr>
                <w:p/>
              </w:tc>
            </w:tr>
          </w:tbl>
          <w:p>
            <w:pPr>
              <w:pStyle w:val="6"/>
              <w:rPr>
                <w:sz w:val="21"/>
                <w:szCs w:val="21"/>
              </w:rPr>
            </w:pPr>
            <w:r>
              <w:rPr>
                <w:rFonts w:hint="eastAsia"/>
                <w:sz w:val="21"/>
                <w:szCs w:val="21"/>
              </w:rPr>
              <w:t>向最高管理者汇报，</w:t>
            </w:r>
            <w:r>
              <w:rPr>
                <w:rFonts w:hint="eastAsia"/>
                <w:sz w:val="21"/>
                <w:szCs w:val="21"/>
              </w:rPr>
              <w:sym w:font="Wingdings" w:char="00FE"/>
            </w:r>
            <w:r>
              <w:rPr>
                <w:rFonts w:hint="eastAsia"/>
                <w:sz w:val="21"/>
                <w:szCs w:val="21"/>
              </w:rPr>
              <w:t>管理者代表：</w:t>
            </w:r>
            <w:r>
              <w:rPr>
                <w:rFonts w:hint="eastAsia"/>
                <w:sz w:val="21"/>
                <w:szCs w:val="21"/>
                <w:u w:val="single"/>
              </w:rPr>
              <w:t xml:space="preserve"> 陈永利先生   </w:t>
            </w:r>
            <w:r>
              <w:rPr>
                <w:rFonts w:hint="eastAsia"/>
                <w:sz w:val="21"/>
                <w:szCs w:val="21"/>
              </w:rPr>
              <w:sym w:font="Wingdings" w:char="00A8"/>
            </w:r>
            <w:r>
              <w:rPr>
                <w:rFonts w:hint="eastAsia"/>
                <w:sz w:val="21"/>
                <w:szCs w:val="21"/>
              </w:rPr>
              <w:t>各部门</w:t>
            </w:r>
          </w:p>
          <w:p>
            <w:pPr>
              <w:pStyle w:val="6"/>
              <w:rPr>
                <w:sz w:val="21"/>
                <w:szCs w:val="21"/>
              </w:rPr>
            </w:pPr>
          </w:p>
          <w:p>
            <w:pPr>
              <w:pStyle w:val="6"/>
              <w:rPr>
                <w:sz w:val="21"/>
                <w:szCs w:val="21"/>
              </w:rPr>
            </w:pPr>
          </w:p>
          <w:p>
            <w:pPr>
              <w:pStyle w:val="6"/>
              <w:rPr>
                <w:sz w:val="21"/>
                <w:szCs w:val="21"/>
              </w:rPr>
            </w:pPr>
            <w:r>
              <w:rPr>
                <w:rFonts w:hint="eastAsia"/>
                <w:sz w:val="21"/>
                <w:szCs w:val="21"/>
              </w:rPr>
              <w:t>OHSMS：</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职业健康安全管理体系策划和推动</w:t>
                  </w:r>
                </w:p>
              </w:tc>
              <w:tc>
                <w:tcPr>
                  <w:tcW w:w="2261" w:type="dxa"/>
                </w:tcPr>
                <w:p>
                  <w:r>
                    <w:rPr>
                      <w:rFonts w:hint="eastAsia"/>
                    </w:rPr>
                    <w:t>质检部</w:t>
                  </w:r>
                </w:p>
              </w:tc>
              <w:tc>
                <w:tcPr>
                  <w:tcW w:w="2261" w:type="dxa"/>
                </w:tcPr>
                <w:p>
                  <w:r>
                    <w:rPr>
                      <w:rFonts w:hint="eastAsia"/>
                    </w:rPr>
                    <w:t>生产/服务设计开发过程</w:t>
                  </w:r>
                </w:p>
              </w:tc>
              <w:tc>
                <w:tcPr>
                  <w:tcW w:w="22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公用工程过程</w:t>
                  </w:r>
                </w:p>
              </w:tc>
              <w:tc>
                <w:tcPr>
                  <w:tcW w:w="2261" w:type="dxa"/>
                </w:tcPr>
                <w:p>
                  <w:r>
                    <w:rPr>
                      <w:rFonts w:hint="eastAsia"/>
                    </w:rPr>
                    <w:t>生产部、行政部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员工代表</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消防</w:t>
                  </w:r>
                </w:p>
              </w:tc>
              <w:tc>
                <w:tcPr>
                  <w:tcW w:w="2261" w:type="dxa"/>
                </w:tcPr>
                <w:p>
                  <w:r>
                    <w:rPr>
                      <w:rFonts w:hint="eastAsia"/>
                    </w:rPr>
                    <w:t>行政部</w:t>
                  </w:r>
                </w:p>
              </w:tc>
              <w:tc>
                <w:tcPr>
                  <w:tcW w:w="2261" w:type="dxa"/>
                </w:tcPr>
                <w:p/>
              </w:tc>
              <w:tc>
                <w:tcPr>
                  <w:tcW w:w="2261" w:type="dxa"/>
                </w:tcPr>
                <w:p/>
              </w:tc>
            </w:tr>
          </w:tbl>
          <w:p/>
          <w:p>
            <w:pPr>
              <w:pStyle w:val="6"/>
            </w:pPr>
            <w:r>
              <w:rPr>
                <w:rFonts w:hint="eastAsia"/>
                <w:sz w:val="21"/>
                <w:szCs w:val="21"/>
              </w:rPr>
              <w:t>向最高管理者汇报，</w:t>
            </w:r>
            <w:r>
              <w:rPr>
                <w:rFonts w:hint="eastAsia"/>
                <w:sz w:val="21"/>
                <w:szCs w:val="21"/>
              </w:rPr>
              <w:sym w:font="Wingdings" w:char="00FE"/>
            </w:r>
            <w:r>
              <w:rPr>
                <w:rFonts w:hint="eastAsia"/>
                <w:sz w:val="21"/>
                <w:szCs w:val="21"/>
              </w:rPr>
              <w:t>管理者代表：</w:t>
            </w:r>
            <w:r>
              <w:rPr>
                <w:rFonts w:hint="eastAsia"/>
                <w:sz w:val="21"/>
                <w:szCs w:val="21"/>
                <w:u w:val="single"/>
              </w:rPr>
              <w:t xml:space="preserve"> 陈永利先生   </w:t>
            </w:r>
            <w:r>
              <w:rPr>
                <w:rFonts w:hint="eastAsia"/>
                <w:sz w:val="21"/>
                <w:szCs w:val="21"/>
              </w:rPr>
              <w:sym w:font="Wingdings" w:char="00A8"/>
            </w:r>
            <w:r>
              <w:rPr>
                <w:rFonts w:hint="eastAsia"/>
                <w:sz w:val="21"/>
                <w:szCs w:val="21"/>
              </w:rPr>
              <w:t>各部门</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ascii="Arial" w:hAnsi="Arial"/>
              </w:rPr>
              <w:t>工作人员的协商和参与</w:t>
            </w:r>
          </w:p>
        </w:tc>
        <w:tc>
          <w:tcPr>
            <w:tcW w:w="961" w:type="dxa"/>
            <w:vMerge w:val="restart"/>
            <w:shd w:val="clear" w:color="auto" w:fill="auto"/>
          </w:tcPr>
          <w:p>
            <w:r>
              <w:rPr>
                <w:rFonts w:hint="eastAsia"/>
              </w:rPr>
              <w:t>O</w:t>
            </w:r>
            <w:r>
              <w:rPr>
                <w:rFonts w:hint="eastAsia"/>
                <w:szCs w:val="21"/>
              </w:rPr>
              <w:t>5.4</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管理手册第</w:t>
            </w:r>
            <w:r>
              <w:rPr>
                <w:rFonts w:hint="eastAsia"/>
                <w:szCs w:val="21"/>
              </w:rPr>
              <w:t>5</w:t>
            </w:r>
            <w:r>
              <w:rPr>
                <w:szCs w:val="21"/>
              </w:rPr>
              <w:t>.</w:t>
            </w:r>
            <w:r>
              <w:rPr>
                <w:rFonts w:hint="eastAsia"/>
                <w:szCs w:val="21"/>
              </w:rPr>
              <w:t>4</w:t>
            </w:r>
            <w:r>
              <w:rPr>
                <w:rFonts w:hint="eastAsia"/>
              </w:rPr>
              <w:t>章、</w:t>
            </w:r>
            <w:r>
              <w:rPr>
                <w:rFonts w:hint="eastAsia"/>
              </w:rPr>
              <w:sym w:font="Wingdings" w:char="00FE"/>
            </w:r>
            <w:r>
              <w:rPr>
                <w:rFonts w:hint="eastAsia"/>
              </w:rPr>
              <w:t>《内外部信息交流控制程序》</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64" w:type="dxa"/>
            <w:vMerge w:val="continue"/>
            <w:shd w:val="clear" w:color="auto" w:fill="auto"/>
          </w:tcPr>
          <w:p>
            <w:pPr>
              <w:rPr>
                <w:highlight w:val="yellow"/>
              </w:rPr>
            </w:pPr>
          </w:p>
        </w:tc>
        <w:tc>
          <w:tcPr>
            <w:tcW w:w="961" w:type="dxa"/>
            <w:vMerge w:val="continue"/>
            <w:shd w:val="clear" w:color="auto" w:fill="auto"/>
          </w:tcPr>
          <w:p>
            <w:pPr>
              <w:rPr>
                <w:highlight w:val="yellow"/>
              </w:rPr>
            </w:pPr>
          </w:p>
        </w:tc>
        <w:tc>
          <w:tcPr>
            <w:tcW w:w="745" w:type="dxa"/>
            <w:shd w:val="clear" w:color="auto" w:fill="auto"/>
          </w:tcPr>
          <w:p>
            <w:r>
              <w:rPr>
                <w:rFonts w:hint="eastAsia"/>
              </w:rPr>
              <w:t>运行证据</w:t>
            </w:r>
          </w:p>
        </w:tc>
        <w:tc>
          <w:tcPr>
            <w:tcW w:w="9256" w:type="dxa"/>
            <w:shd w:val="clear" w:color="auto" w:fill="auto"/>
          </w:tcPr>
          <w:p>
            <w:r>
              <w:rPr>
                <w:rFonts w:hint="eastAsia"/>
              </w:rPr>
              <w:sym w:font="Wingdings" w:char="00FE"/>
            </w:r>
            <w:r>
              <w:rPr>
                <w:rFonts w:hint="eastAsia"/>
              </w:rPr>
              <w:t>员工代表：</w:t>
            </w:r>
            <w:r>
              <w:rPr>
                <w:rFonts w:hint="eastAsia"/>
                <w:u w:val="single"/>
              </w:rPr>
              <w:t xml:space="preserve"> 崔晓光   </w:t>
            </w:r>
            <w:r>
              <w:rPr>
                <w:rFonts w:hint="eastAsia"/>
              </w:rPr>
              <w:sym w:font="Wingdings" w:char="00FE"/>
            </w:r>
            <w:r>
              <w:rPr>
                <w:rFonts w:hint="eastAsia"/>
              </w:rPr>
              <w:t>共</w:t>
            </w:r>
            <w:r>
              <w:rPr>
                <w:rFonts w:hint="eastAsia"/>
                <w:u w:val="single"/>
              </w:rPr>
              <w:t xml:space="preserve">  1</w:t>
            </w:r>
            <w:r>
              <w:rPr>
                <w:rFonts w:hint="eastAsia"/>
              </w:rPr>
              <w:t>名</w:t>
            </w:r>
          </w:p>
          <w:tbl>
            <w:tblPr>
              <w:tblStyle w:val="11"/>
              <w:tblW w:w="1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203"/>
              <w:gridCol w:w="1567"/>
              <w:gridCol w:w="1299"/>
              <w:gridCol w:w="1379"/>
              <w:gridCol w:w="1571"/>
              <w:gridCol w:w="2024"/>
              <w:gridCol w:w="1756"/>
              <w:gridCol w:w="1014"/>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shd w:val="clear" w:color="auto" w:fill="auto"/>
                </w:tcPr>
                <w:p>
                  <w:r>
                    <w:rPr>
                      <w:rFonts w:hint="eastAsia"/>
                    </w:rPr>
                    <w:t>协商参与机制</w:t>
                  </w:r>
                </w:p>
              </w:tc>
              <w:tc>
                <w:tcPr>
                  <w:tcW w:w="1203" w:type="dxa"/>
                  <w:shd w:val="clear" w:color="auto" w:fill="auto"/>
                </w:tcPr>
                <w:p>
                  <w:r>
                    <w:rPr>
                      <w:rFonts w:hint="eastAsia"/>
                    </w:rPr>
                    <w:t>协商时间</w:t>
                  </w:r>
                </w:p>
              </w:tc>
              <w:tc>
                <w:tcPr>
                  <w:tcW w:w="1567" w:type="dxa"/>
                  <w:shd w:val="clear" w:color="auto" w:fill="auto"/>
                </w:tcPr>
                <w:p>
                  <w:r>
                    <w:rPr>
                      <w:rFonts w:hint="eastAsia"/>
                    </w:rPr>
                    <w:t>培训</w:t>
                  </w:r>
                </w:p>
              </w:tc>
              <w:tc>
                <w:tcPr>
                  <w:tcW w:w="1299" w:type="dxa"/>
                  <w:shd w:val="clear" w:color="auto" w:fill="auto"/>
                </w:tcPr>
                <w:p>
                  <w:r>
                    <w:rPr>
                      <w:rFonts w:hint="eastAsia"/>
                    </w:rPr>
                    <w:t>资源</w:t>
                  </w:r>
                </w:p>
              </w:tc>
              <w:tc>
                <w:tcPr>
                  <w:tcW w:w="1379" w:type="dxa"/>
                  <w:shd w:val="clear" w:color="auto" w:fill="auto"/>
                </w:tcPr>
                <w:p>
                  <w:r>
                    <w:rPr>
                      <w:rFonts w:hint="eastAsia"/>
                    </w:rPr>
                    <w:t>访问渠道</w:t>
                  </w:r>
                </w:p>
              </w:tc>
              <w:tc>
                <w:tcPr>
                  <w:tcW w:w="1571" w:type="dxa"/>
                  <w:shd w:val="clear" w:color="auto" w:fill="auto"/>
                </w:tcPr>
                <w:p>
                  <w:r>
                    <w:rPr>
                      <w:rFonts w:hint="eastAsia"/>
                    </w:rPr>
                    <w:t>回应方式</w:t>
                  </w:r>
                </w:p>
              </w:tc>
              <w:tc>
                <w:tcPr>
                  <w:tcW w:w="2024" w:type="dxa"/>
                  <w:shd w:val="clear" w:color="auto" w:fill="auto"/>
                </w:tcPr>
                <w:p>
                  <w:r>
                    <w:rPr>
                      <w:rFonts w:hint="eastAsia"/>
                    </w:rPr>
                    <w:t>协商机制</w:t>
                  </w:r>
                </w:p>
              </w:tc>
              <w:tc>
                <w:tcPr>
                  <w:tcW w:w="1756" w:type="dxa"/>
                  <w:shd w:val="clear" w:color="auto" w:fill="auto"/>
                </w:tcPr>
                <w:p>
                  <w:r>
                    <w:rPr>
                      <w:rFonts w:hint="eastAsia"/>
                    </w:rPr>
                    <w:t>协商时间</w:t>
                  </w:r>
                </w:p>
              </w:tc>
              <w:tc>
                <w:tcPr>
                  <w:tcW w:w="1014" w:type="dxa"/>
                  <w:shd w:val="clear" w:color="auto" w:fill="auto"/>
                </w:tcPr>
                <w:p>
                  <w:r>
                    <w:rPr>
                      <w:rFonts w:hint="eastAsia"/>
                    </w:rPr>
                    <w:t>培训</w:t>
                  </w:r>
                </w:p>
              </w:tc>
              <w:tc>
                <w:tcPr>
                  <w:tcW w:w="1299" w:type="dxa"/>
                  <w:shd w:val="clear" w:color="auto" w:fill="auto"/>
                </w:tcPr>
                <w:p>
                  <w:r>
                    <w:rPr>
                      <w:rFonts w:hint="eastAsia"/>
                    </w:rPr>
                    <w:t>资源</w:t>
                  </w:r>
                </w:p>
              </w:tc>
              <w:tc>
                <w:tcPr>
                  <w:tcW w:w="1379" w:type="dxa"/>
                  <w:shd w:val="clear" w:color="auto" w:fill="auto"/>
                </w:tcPr>
                <w:p>
                  <w:r>
                    <w:rPr>
                      <w:rFonts w:hint="eastAsia"/>
                    </w:rPr>
                    <w:t>访问渠道</w:t>
                  </w:r>
                </w:p>
              </w:tc>
              <w:tc>
                <w:tcPr>
                  <w:tcW w:w="1571" w:type="dxa"/>
                  <w:shd w:val="clear" w:color="auto" w:fill="auto"/>
                </w:tcPr>
                <w:p>
                  <w:r>
                    <w:rPr>
                      <w:rFonts w:hint="eastAsia"/>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4" w:type="dxa"/>
                  <w:shd w:val="clear" w:color="auto" w:fill="auto"/>
                </w:tcPr>
                <w:p>
                  <w:r>
                    <w:rPr>
                      <w:rFonts w:hint="eastAsia"/>
                    </w:rPr>
                    <w:t>选举工作人员代表</w:t>
                  </w:r>
                </w:p>
              </w:tc>
              <w:tc>
                <w:tcPr>
                  <w:tcW w:w="1203" w:type="dxa"/>
                  <w:shd w:val="clear" w:color="auto" w:fill="auto"/>
                </w:tcPr>
                <w:p>
                  <w:r>
                    <w:rPr>
                      <w:rFonts w:hint="eastAsia"/>
                    </w:rPr>
                    <w:t>每年</w:t>
                  </w:r>
                </w:p>
              </w:tc>
              <w:tc>
                <w:tcPr>
                  <w:tcW w:w="1567" w:type="dxa"/>
                  <w:shd w:val="clear" w:color="auto" w:fill="auto"/>
                </w:tcPr>
                <w:p>
                  <w:r>
                    <w:rPr>
                      <w:rFonts w:hint="eastAsia"/>
                    </w:rPr>
                    <w:t>每年一次</w:t>
                  </w:r>
                </w:p>
              </w:tc>
              <w:tc>
                <w:tcPr>
                  <w:tcW w:w="1299" w:type="dxa"/>
                  <w:shd w:val="clear" w:color="auto" w:fill="auto"/>
                </w:tcPr>
                <w:p>
                  <w:r>
                    <w:rPr>
                      <w:rFonts w:hint="eastAsia"/>
                    </w:rPr>
                    <w:t>提供资金、场所</w:t>
                  </w:r>
                </w:p>
              </w:tc>
              <w:tc>
                <w:tcPr>
                  <w:tcW w:w="1379" w:type="dxa"/>
                  <w:shd w:val="clear" w:color="auto" w:fill="auto"/>
                </w:tcPr>
                <w:p>
                  <w:r>
                    <w:rPr>
                      <w:rFonts w:hint="eastAsia"/>
                    </w:rPr>
                    <w:t>会议</w:t>
                  </w:r>
                </w:p>
              </w:tc>
              <w:tc>
                <w:tcPr>
                  <w:tcW w:w="1571" w:type="dxa"/>
                  <w:shd w:val="clear" w:color="auto" w:fill="auto"/>
                </w:tcPr>
                <w:p>
                  <w:r>
                    <w:rPr>
                      <w:rFonts w:hint="eastAsia"/>
                    </w:rPr>
                    <w:t>面谈、微信、电话</w:t>
                  </w:r>
                </w:p>
              </w:tc>
              <w:tc>
                <w:tcPr>
                  <w:tcW w:w="2024" w:type="dxa"/>
                  <w:shd w:val="clear" w:color="auto" w:fill="auto"/>
                </w:tcPr>
                <w:p>
                  <w:r>
                    <w:rPr>
                      <w:rFonts w:hint="eastAsia"/>
                    </w:rPr>
                    <w:t>选举工作人员代表</w:t>
                  </w:r>
                </w:p>
              </w:tc>
              <w:tc>
                <w:tcPr>
                  <w:tcW w:w="1756" w:type="dxa"/>
                  <w:shd w:val="clear" w:color="auto" w:fill="auto"/>
                </w:tcPr>
                <w:p>
                  <w:r>
                    <w:rPr>
                      <w:rFonts w:hint="eastAsia"/>
                    </w:rPr>
                    <w:t>工伤调查</w:t>
                  </w:r>
                </w:p>
              </w:tc>
              <w:tc>
                <w:tcPr>
                  <w:tcW w:w="1014" w:type="dxa"/>
                  <w:shd w:val="clear" w:color="auto" w:fill="auto"/>
                </w:tcPr>
                <w:p>
                  <w:r>
                    <w:rPr>
                      <w:rFonts w:hint="eastAsia"/>
                    </w:rPr>
                    <w:t>每年</w:t>
                  </w:r>
                </w:p>
              </w:tc>
              <w:tc>
                <w:tcPr>
                  <w:tcW w:w="1299" w:type="dxa"/>
                  <w:shd w:val="clear" w:color="auto" w:fill="auto"/>
                </w:tcPr>
                <w:p/>
              </w:tc>
              <w:tc>
                <w:tcPr>
                  <w:tcW w:w="1379" w:type="dxa"/>
                  <w:shd w:val="clear" w:color="auto" w:fill="auto"/>
                </w:tcPr>
                <w:p/>
              </w:tc>
              <w:tc>
                <w:tcPr>
                  <w:tcW w:w="157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r>
                    <w:rPr>
                      <w:rFonts w:hint="eastAsia"/>
                    </w:rPr>
                    <w:t>合理化建议</w:t>
                  </w:r>
                </w:p>
              </w:tc>
              <w:tc>
                <w:tcPr>
                  <w:tcW w:w="1203" w:type="dxa"/>
                  <w:shd w:val="clear" w:color="auto" w:fill="auto"/>
                </w:tcPr>
                <w:p>
                  <w:r>
                    <w:rPr>
                      <w:rFonts w:hint="eastAsia"/>
                    </w:rPr>
                    <w:t>随时</w:t>
                  </w:r>
                </w:p>
              </w:tc>
              <w:tc>
                <w:tcPr>
                  <w:tcW w:w="1567" w:type="dxa"/>
                  <w:shd w:val="clear" w:color="auto" w:fill="auto"/>
                </w:tcPr>
                <w:p>
                  <w:r>
                    <w:rPr>
                      <w:rFonts w:hint="eastAsia"/>
                    </w:rPr>
                    <w:t>按照公司安排</w:t>
                  </w:r>
                </w:p>
              </w:tc>
              <w:tc>
                <w:tcPr>
                  <w:tcW w:w="1299" w:type="dxa"/>
                  <w:shd w:val="clear" w:color="auto" w:fill="auto"/>
                </w:tcPr>
                <w:p>
                  <w:r>
                    <w:rPr>
                      <w:rFonts w:hint="eastAsia"/>
                    </w:rPr>
                    <w:t>意见箱</w:t>
                  </w:r>
                </w:p>
              </w:tc>
              <w:tc>
                <w:tcPr>
                  <w:tcW w:w="1379" w:type="dxa"/>
                  <w:shd w:val="clear" w:color="auto" w:fill="auto"/>
                </w:tcPr>
                <w:p>
                  <w:r>
                    <w:rPr>
                      <w:rFonts w:hint="eastAsia"/>
                    </w:rPr>
                    <w:t>面谈</w:t>
                  </w:r>
                </w:p>
              </w:tc>
              <w:tc>
                <w:tcPr>
                  <w:tcW w:w="1571" w:type="dxa"/>
                  <w:shd w:val="clear" w:color="auto" w:fill="auto"/>
                </w:tcPr>
                <w:p>
                  <w:r>
                    <w:rPr>
                      <w:rFonts w:hint="eastAsia"/>
                    </w:rPr>
                    <w:t>面谈、微信、</w:t>
                  </w:r>
                </w:p>
              </w:tc>
              <w:tc>
                <w:tcPr>
                  <w:tcW w:w="2024" w:type="dxa"/>
                  <w:shd w:val="clear" w:color="auto" w:fill="auto"/>
                </w:tcPr>
                <w:p/>
              </w:tc>
              <w:tc>
                <w:tcPr>
                  <w:tcW w:w="1756" w:type="dxa"/>
                  <w:shd w:val="clear" w:color="auto" w:fill="auto"/>
                </w:tcPr>
                <w:p/>
              </w:tc>
              <w:tc>
                <w:tcPr>
                  <w:tcW w:w="1014" w:type="dxa"/>
                  <w:shd w:val="clear" w:color="auto" w:fill="auto"/>
                </w:tcPr>
                <w:p/>
              </w:tc>
              <w:tc>
                <w:tcPr>
                  <w:tcW w:w="1299" w:type="dxa"/>
                  <w:shd w:val="clear" w:color="auto" w:fill="auto"/>
                </w:tcPr>
                <w:p/>
              </w:tc>
              <w:tc>
                <w:tcPr>
                  <w:tcW w:w="1379" w:type="dxa"/>
                  <w:shd w:val="clear" w:color="auto" w:fill="auto"/>
                </w:tcPr>
                <w:p/>
              </w:tc>
              <w:tc>
                <w:tcPr>
                  <w:tcW w:w="157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r>
                    <w:rPr>
                      <w:rFonts w:hint="eastAsia"/>
                    </w:rPr>
                    <w:t>重大变化</w:t>
                  </w:r>
                </w:p>
              </w:tc>
              <w:tc>
                <w:tcPr>
                  <w:tcW w:w="1203" w:type="dxa"/>
                  <w:shd w:val="clear" w:color="auto" w:fill="auto"/>
                </w:tcPr>
                <w:p>
                  <w:r>
                    <w:rPr>
                      <w:rFonts w:hint="eastAsia"/>
                    </w:rPr>
                    <w:t>发生前</w:t>
                  </w:r>
                </w:p>
              </w:tc>
              <w:tc>
                <w:tcPr>
                  <w:tcW w:w="1567" w:type="dxa"/>
                  <w:shd w:val="clear" w:color="auto" w:fill="auto"/>
                </w:tcPr>
                <w:p>
                  <w:r>
                    <w:rPr>
                      <w:rFonts w:hint="eastAsia"/>
                    </w:rPr>
                    <w:t>按照公司安排</w:t>
                  </w:r>
                </w:p>
              </w:tc>
              <w:tc>
                <w:tcPr>
                  <w:tcW w:w="1299" w:type="dxa"/>
                  <w:shd w:val="clear" w:color="auto" w:fill="auto"/>
                </w:tcPr>
                <w:p>
                  <w:r>
                    <w:rPr>
                      <w:rFonts w:hint="eastAsia"/>
                    </w:rPr>
                    <w:t>会议室</w:t>
                  </w:r>
                </w:p>
              </w:tc>
              <w:tc>
                <w:tcPr>
                  <w:tcW w:w="1379" w:type="dxa"/>
                  <w:shd w:val="clear" w:color="auto" w:fill="auto"/>
                </w:tcPr>
                <w:p>
                  <w:r>
                    <w:rPr>
                      <w:rFonts w:hint="eastAsia"/>
                    </w:rPr>
                    <w:t>面谈、会议</w:t>
                  </w:r>
                </w:p>
              </w:tc>
              <w:tc>
                <w:tcPr>
                  <w:tcW w:w="1571" w:type="dxa"/>
                  <w:shd w:val="clear" w:color="auto" w:fill="auto"/>
                </w:tcPr>
                <w:p>
                  <w:r>
                    <w:rPr>
                      <w:rFonts w:hint="eastAsia"/>
                    </w:rPr>
                    <w:t>面谈、微信、</w:t>
                  </w:r>
                </w:p>
              </w:tc>
              <w:tc>
                <w:tcPr>
                  <w:tcW w:w="2024" w:type="dxa"/>
                  <w:shd w:val="clear" w:color="auto" w:fill="auto"/>
                </w:tcPr>
                <w:p/>
              </w:tc>
              <w:tc>
                <w:tcPr>
                  <w:tcW w:w="1756" w:type="dxa"/>
                  <w:shd w:val="clear" w:color="auto" w:fill="auto"/>
                </w:tcPr>
                <w:p/>
              </w:tc>
              <w:tc>
                <w:tcPr>
                  <w:tcW w:w="1014" w:type="dxa"/>
                  <w:shd w:val="clear" w:color="auto" w:fill="auto"/>
                </w:tcPr>
                <w:p/>
              </w:tc>
              <w:tc>
                <w:tcPr>
                  <w:tcW w:w="1299" w:type="dxa"/>
                  <w:shd w:val="clear" w:color="auto" w:fill="auto"/>
                </w:tcPr>
                <w:p/>
              </w:tc>
              <w:tc>
                <w:tcPr>
                  <w:tcW w:w="1379" w:type="dxa"/>
                  <w:shd w:val="clear" w:color="auto" w:fill="auto"/>
                </w:tcPr>
                <w:p/>
              </w:tc>
              <w:tc>
                <w:tcPr>
                  <w:tcW w:w="157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tcPr>
                <w:p>
                  <w:r>
                    <w:rPr>
                      <w:rFonts w:hint="eastAsia"/>
                    </w:rPr>
                    <w:t>工伤事件</w:t>
                  </w:r>
                </w:p>
              </w:tc>
              <w:tc>
                <w:tcPr>
                  <w:tcW w:w="1203" w:type="dxa"/>
                  <w:shd w:val="clear" w:color="auto" w:fill="auto"/>
                </w:tcPr>
                <w:p>
                  <w:r>
                    <w:rPr>
                      <w:rFonts w:hint="eastAsia"/>
                    </w:rPr>
                    <w:t>调查时</w:t>
                  </w:r>
                </w:p>
              </w:tc>
              <w:tc>
                <w:tcPr>
                  <w:tcW w:w="1567" w:type="dxa"/>
                  <w:shd w:val="clear" w:color="auto" w:fill="auto"/>
                </w:tcPr>
                <w:p>
                  <w:r>
                    <w:rPr>
                      <w:rFonts w:hint="eastAsia"/>
                    </w:rPr>
                    <w:t>按照公司安排</w:t>
                  </w:r>
                </w:p>
              </w:tc>
              <w:tc>
                <w:tcPr>
                  <w:tcW w:w="1299" w:type="dxa"/>
                  <w:shd w:val="clear" w:color="auto" w:fill="auto"/>
                </w:tcPr>
                <w:p>
                  <w:r>
                    <w:rPr>
                      <w:rFonts w:hint="eastAsia"/>
                    </w:rPr>
                    <w:t>会议室</w:t>
                  </w:r>
                </w:p>
              </w:tc>
              <w:tc>
                <w:tcPr>
                  <w:tcW w:w="1379" w:type="dxa"/>
                  <w:shd w:val="clear" w:color="auto" w:fill="auto"/>
                </w:tcPr>
                <w:p>
                  <w:r>
                    <w:rPr>
                      <w:rFonts w:hint="eastAsia"/>
                    </w:rPr>
                    <w:t>面谈、会议</w:t>
                  </w:r>
                </w:p>
              </w:tc>
              <w:tc>
                <w:tcPr>
                  <w:tcW w:w="1571" w:type="dxa"/>
                  <w:shd w:val="clear" w:color="auto" w:fill="auto"/>
                </w:tcPr>
                <w:p>
                  <w:r>
                    <w:rPr>
                      <w:rFonts w:hint="eastAsia"/>
                    </w:rPr>
                    <w:t>面谈、微信、</w:t>
                  </w:r>
                </w:p>
              </w:tc>
              <w:tc>
                <w:tcPr>
                  <w:tcW w:w="2024" w:type="dxa"/>
                  <w:shd w:val="clear" w:color="auto" w:fill="auto"/>
                </w:tcPr>
                <w:p/>
              </w:tc>
              <w:tc>
                <w:tcPr>
                  <w:tcW w:w="1756" w:type="dxa"/>
                  <w:shd w:val="clear" w:color="auto" w:fill="auto"/>
                </w:tcPr>
                <w:p/>
              </w:tc>
              <w:tc>
                <w:tcPr>
                  <w:tcW w:w="1014" w:type="dxa"/>
                  <w:shd w:val="clear" w:color="auto" w:fill="auto"/>
                </w:tcPr>
                <w:p/>
              </w:tc>
              <w:tc>
                <w:tcPr>
                  <w:tcW w:w="1299" w:type="dxa"/>
                  <w:shd w:val="clear" w:color="auto" w:fill="auto"/>
                </w:tcPr>
                <w:p/>
              </w:tc>
              <w:tc>
                <w:tcPr>
                  <w:tcW w:w="1379" w:type="dxa"/>
                  <w:shd w:val="clear" w:color="auto" w:fill="auto"/>
                </w:tcPr>
                <w:p/>
              </w:tc>
              <w:tc>
                <w:tcPr>
                  <w:tcW w:w="1571" w:type="dxa"/>
                  <w:shd w:val="clear" w:color="auto" w:fill="auto"/>
                </w:tcPr>
                <w:p/>
              </w:tc>
            </w:tr>
          </w:tbl>
          <w:p>
            <w:pPr>
              <w:ind w:firstLine="420"/>
            </w:pPr>
          </w:p>
          <w:tbl>
            <w:tblPr>
              <w:tblStyle w:val="11"/>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协商的内容</w:t>
                  </w:r>
                </w:p>
              </w:tc>
              <w:tc>
                <w:tcPr>
                  <w:tcW w:w="2105" w:type="dxa"/>
                </w:tcPr>
                <w:p>
                  <w:r>
                    <w:rPr>
                      <w:rFonts w:hint="eastAsia"/>
                    </w:rPr>
                    <w:t>协商的时机</w:t>
                  </w:r>
                </w:p>
              </w:tc>
              <w:tc>
                <w:tcPr>
                  <w:tcW w:w="2689" w:type="dxa"/>
                </w:tcPr>
                <w:p>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确定相关方的需求和期望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建立职业健康安全方针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分配组织的角色、职责和权限</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确定如何满足法律法规要求和其他要求</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制定职业健康安全目标并为其实现进行策划</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确定对外包、采购和承包方的适用控制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确定所需监视、测量和评价的内容</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策划、建立、实施和保持审核方案</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确保持续改进</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r>
              <w:rPr>
                <w:rFonts w:hint="eastAsia"/>
              </w:rPr>
              <w:t>与非管理类工作人员在如下方面的协商：</w:t>
            </w:r>
          </w:p>
          <w:tbl>
            <w:tblPr>
              <w:tblStyle w:val="11"/>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参与的内容</w:t>
                  </w:r>
                </w:p>
              </w:tc>
              <w:tc>
                <w:tcPr>
                  <w:tcW w:w="2105" w:type="dxa"/>
                </w:tcPr>
                <w:p>
                  <w:r>
                    <w:rPr>
                      <w:rFonts w:hint="eastAsia"/>
                    </w:rPr>
                    <w:t>参与的时机</w:t>
                  </w:r>
                </w:p>
              </w:tc>
              <w:tc>
                <w:tcPr>
                  <w:tcW w:w="2689" w:type="dxa"/>
                </w:tcPr>
                <w:p>
                  <w:r>
                    <w:rPr>
                      <w:rFonts w:hint="eastAsia"/>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确定其协商和参与的机制</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辨识危险源并评价风险和机遇</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确定消除危险源和降低职业健康安全风险的措施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确定能力要求、培训需求、培训和培训效果评价</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确定沟通的内容和方式</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确定控制措施及其有效的实施和应用</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r>
                    <w:rPr>
                      <w:rFonts w:hint="eastAsia"/>
                    </w:rPr>
                    <w:t>调查事件和不符合并确定纠正措施</w:t>
                  </w:r>
                </w:p>
              </w:tc>
              <w:tc>
                <w:tcPr>
                  <w:tcW w:w="2105" w:type="dxa"/>
                </w:tcPr>
                <w:p>
                  <w:r>
                    <w:rPr>
                      <w:rFonts w:hint="eastAsia"/>
                    </w:rPr>
                    <w:sym w:font="Wingdings" w:char="00FE"/>
                  </w:r>
                  <w:r>
                    <w:rPr>
                      <w:rFonts w:hint="eastAsia"/>
                    </w:rPr>
                    <w:t>建立体系时</w:t>
                  </w:r>
                </w:p>
                <w:p>
                  <w:r>
                    <w:rPr>
                      <w:rFonts w:hint="eastAsia"/>
                    </w:rPr>
                    <w:sym w:font="Wingdings" w:char="00FE"/>
                  </w:r>
                  <w:r>
                    <w:rPr>
                      <w:rFonts w:hint="eastAsia"/>
                    </w:rPr>
                    <w:t>体系变更时</w:t>
                  </w:r>
                </w:p>
              </w:tc>
              <w:tc>
                <w:tcPr>
                  <w:tcW w:w="2689" w:type="dxa"/>
                </w:tcPr>
                <w:p>
                  <w:r>
                    <w:rPr>
                      <w:rFonts w:hint="eastAsia"/>
                    </w:rPr>
                    <w:sym w:font="Wingdings" w:char="00FE"/>
                  </w:r>
                  <w:r>
                    <w:rPr>
                      <w:rFonts w:hint="eastAsia"/>
                    </w:rPr>
                    <w:t xml:space="preserve">已实施 </w:t>
                  </w:r>
                  <w:r>
                    <w:rPr>
                      <w:rFonts w:hint="eastAsia"/>
                    </w:rPr>
                    <w:sym w:font="Wingdings" w:char="00A8"/>
                  </w:r>
                  <w:r>
                    <w:rPr>
                      <w:rFonts w:hint="eastAsia"/>
                    </w:rPr>
                    <w:t>未实施</w:t>
                  </w:r>
                </w:p>
              </w:tc>
            </w:tr>
          </w:tbl>
          <w:p/>
          <w:p>
            <w:pPr>
              <w:rPr>
                <w:color w:val="000000"/>
                <w:szCs w:val="21"/>
              </w:rPr>
            </w:pPr>
            <w:r>
              <w:rPr>
                <w:rFonts w:hint="eastAsia"/>
              </w:rPr>
              <w:t>近一年组织员工的内部满意度调查，</w:t>
            </w:r>
            <w:r>
              <w:rPr>
                <w:rFonts w:hint="eastAsia"/>
              </w:rPr>
              <w:sym w:font="Wingdings" w:char="00A8"/>
            </w:r>
            <w:r>
              <w:rPr>
                <w:rFonts w:hint="eastAsia"/>
              </w:rPr>
              <w:t xml:space="preserve">未实施 </w:t>
            </w:r>
            <w:r>
              <w:rPr>
                <w:rFonts w:hint="eastAsia"/>
              </w:rPr>
              <w:sym w:font="Wingdings" w:char="00FE"/>
            </w:r>
            <w:r>
              <w:rPr>
                <w:rFonts w:hint="eastAsia"/>
              </w:rPr>
              <w:t>已实施，说明</w:t>
            </w:r>
            <w:r>
              <w:rPr>
                <w:rFonts w:hint="eastAsia"/>
                <w:u w:val="single"/>
              </w:rPr>
              <w:t xml:space="preserve">    满意度符合要求      </w:t>
            </w:r>
            <w:r>
              <w:rPr>
                <w:rFonts w:hint="eastAsia"/>
              </w:rPr>
              <w:t xml:space="preserve"> </w:t>
            </w:r>
          </w:p>
        </w:tc>
        <w:tc>
          <w:tcPr>
            <w:tcW w:w="1588"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pPr>
              <w:rPr>
                <w:color w:val="000000"/>
                <w:szCs w:val="21"/>
              </w:rPr>
            </w:pPr>
            <w:r>
              <w:rPr>
                <w:rFonts w:hint="eastAsia"/>
                <w:color w:val="000000"/>
                <w:szCs w:val="21"/>
              </w:rPr>
              <w:t>应对风险和机遇的措施</w:t>
            </w:r>
          </w:p>
          <w:p/>
        </w:tc>
        <w:tc>
          <w:tcPr>
            <w:tcW w:w="961" w:type="dxa"/>
            <w:vMerge w:val="restart"/>
            <w:shd w:val="clear" w:color="auto" w:fill="auto"/>
          </w:tcPr>
          <w:p>
            <w:r>
              <w:rPr>
                <w:rFonts w:hint="eastAsia"/>
              </w:rPr>
              <w:t>Q6.1</w:t>
            </w:r>
          </w:p>
          <w:p>
            <w:pPr>
              <w:pStyle w:val="6"/>
            </w:pPr>
            <w:r>
              <w:rPr>
                <w:rFonts w:hint="eastAsia"/>
                <w:color w:val="000000"/>
                <w:szCs w:val="21"/>
              </w:rPr>
              <w:t>E6.1</w:t>
            </w:r>
            <w:r>
              <w:rPr>
                <w:color w:val="000000"/>
                <w:szCs w:val="21"/>
              </w:rPr>
              <w:t>.1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《风险和机遇管理程序》、</w:t>
            </w:r>
            <w:r>
              <w:rPr>
                <w:rFonts w:hint="eastAsia"/>
              </w:rPr>
              <w:sym w:font="Wingdings" w:char="00FE"/>
            </w:r>
            <w:r>
              <w:rPr>
                <w:rFonts w:hint="eastAsia"/>
              </w:rPr>
              <w:t>管理手册第6.1章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应对风险的措施类型包括：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列举2~3项应对主要风险的描述：</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r>
                    <w:rPr>
                      <w:rFonts w:hint="eastAsia"/>
                    </w:rPr>
                    <w:t>主要的风险描述</w:t>
                  </w:r>
                </w:p>
              </w:tc>
              <w:tc>
                <w:tcPr>
                  <w:tcW w:w="407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ascii="宋体" w:hAnsi="宋体" w:cs="宋体"/>
                      <w:color w:val="000000"/>
                      <w:kern w:val="0"/>
                      <w:szCs w:val="21"/>
                      <w:highlight w:val="yellow"/>
                      <w:lang w:bidi="ar"/>
                    </w:rPr>
                  </w:pPr>
                  <w:r>
                    <w:rPr>
                      <w:rFonts w:hint="eastAsia"/>
                    </w:rPr>
                    <w:t>公司是否充分及时收集质量环境安全法规评估，并转化为公司制度执行，符合新法规要求；公司现有的制度，是否符合新行业标准的要求</w:t>
                  </w:r>
                </w:p>
              </w:tc>
              <w:tc>
                <w:tcPr>
                  <w:tcW w:w="4073" w:type="dxa"/>
                </w:tcPr>
                <w:p>
                  <w:pPr>
                    <w:pStyle w:val="6"/>
                    <w:rPr>
                      <w:highlight w:val="yellow"/>
                    </w:rPr>
                  </w:pPr>
                  <w:r>
                    <w:rPr>
                      <w:rFonts w:hint="eastAsia"/>
                    </w:rPr>
                    <w:t>主要职能部门按照要求加强法律法规的收集评价</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r>
                    <w:rPr>
                      <w:rFonts w:hint="eastAsia"/>
                      <w:szCs w:val="24"/>
                    </w:rPr>
                    <w:t>客户对产品质量标准提高，材料要求环保材料，以及对供应周期和售后服务的期望值提升，给公司材料采购、生产、质量和售后管理提出新的要求</w:t>
                  </w:r>
                </w:p>
              </w:tc>
              <w:tc>
                <w:tcPr>
                  <w:tcW w:w="4073" w:type="dxa"/>
                </w:tcPr>
                <w:p>
                  <w:r>
                    <w:rPr>
                      <w:rFonts w:hint="eastAsia"/>
                    </w:rPr>
                    <w:t>加强与客户进行质量标准制定的沟通，统一双方的标准和检测方法。</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r>
                    <w:rPr>
                      <w:rFonts w:hint="eastAsia"/>
                      <w:szCs w:val="24"/>
                    </w:rPr>
                    <w:t>目前公司原材料供应稳定不足，品质不稳定，小批量供应厂商配合度不好，给公司的采购带来一定的风险。</w:t>
                  </w:r>
                </w:p>
              </w:tc>
              <w:tc>
                <w:tcPr>
                  <w:tcW w:w="4073" w:type="dxa"/>
                </w:tcPr>
                <w:p>
                  <w:r>
                    <w:rPr>
                      <w:rFonts w:hint="eastAsia"/>
                    </w:rPr>
                    <w:t>供销部要提前制定采购计划，拓展原料采购的渠道，保证优质原料的供应。</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p>
              </w:tc>
              <w:tc>
                <w:tcPr>
                  <w:tcW w:w="4073" w:type="dxa"/>
                </w:tcPr>
                <w:p/>
              </w:tc>
              <w:tc>
                <w:tcPr>
                  <w:tcW w:w="1717" w:type="dxa"/>
                </w:tcPr>
                <w:p/>
              </w:tc>
            </w:tr>
          </w:tbl>
          <w:p>
            <w:r>
              <w:rPr>
                <w:rFonts w:hint="eastAsia"/>
                <w:highlight w:val="yellow"/>
              </w:rPr>
              <w:t>但</w:t>
            </w:r>
            <w:bookmarkStart w:id="2" w:name="_Hlk92707199"/>
            <w:r>
              <w:rPr>
                <w:rFonts w:hint="eastAsia"/>
                <w:highlight w:val="yellow"/>
              </w:rPr>
              <w:t>没有识别疫情对国际贸易、生产经营的影响情况，</w:t>
            </w:r>
            <w:r>
              <w:rPr>
                <w:rFonts w:hint="eastAsia"/>
                <w:highlight w:val="yellow"/>
                <w:lang w:val="en-US" w:eastAsia="zh-CN"/>
              </w:rPr>
              <w:t>已进行</w:t>
            </w:r>
            <w:bookmarkStart w:id="3" w:name="_GoBack"/>
            <w:bookmarkEnd w:id="3"/>
            <w:r>
              <w:rPr>
                <w:rFonts w:hint="eastAsia"/>
                <w:highlight w:val="yellow"/>
              </w:rPr>
              <w:t>沟通。</w:t>
            </w:r>
            <w:bookmarkEnd w:id="2"/>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1"/>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主要的机遇描述</w:t>
                  </w:r>
                </w:p>
              </w:tc>
              <w:tc>
                <w:tcPr>
                  <w:tcW w:w="383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r>
                    <w:rPr>
                      <w:rFonts w:hint="eastAsia"/>
                    </w:rPr>
                    <w:t>公司目前主要人员还算稳定，各项绩效考核能顺利开展，为公司的发展提供一个比较好的基础。</w:t>
                  </w:r>
                </w:p>
              </w:tc>
              <w:tc>
                <w:tcPr>
                  <w:tcW w:w="3833" w:type="dxa"/>
                </w:tcPr>
                <w:p>
                  <w:pPr>
                    <w:pStyle w:val="9"/>
                    <w:ind w:left="0" w:firstLine="0" w:firstLineChars="0"/>
                    <w:jc w:val="left"/>
                  </w:pPr>
                  <w:r>
                    <w:rPr>
                      <w:rFonts w:hint="eastAsia"/>
                    </w:rPr>
                    <w:t>1.各部门要及时关注员工的心理变换，注意工作方式，创造良好的工作环境，提高员工的归属感</w:t>
                  </w:r>
                </w:p>
                <w:p>
                  <w:pPr>
                    <w:pStyle w:val="9"/>
                    <w:ind w:left="0" w:firstLine="0" w:firstLineChars="0"/>
                    <w:jc w:val="left"/>
                  </w:pPr>
                  <w:r>
                    <w:rPr>
                      <w:rFonts w:hint="eastAsia"/>
                    </w:rPr>
                    <w:t>2.人资部做好人员的储备，防止人员流失后给公司带来的风险；</w:t>
                  </w:r>
                </w:p>
                <w:p>
                  <w:pPr>
                    <w:pStyle w:val="9"/>
                    <w:ind w:left="0" w:firstLine="0" w:firstLineChars="0"/>
                    <w:jc w:val="left"/>
                  </w:pPr>
                  <w:r>
                    <w:rPr>
                      <w:rFonts w:hint="eastAsia"/>
                    </w:rPr>
                    <w:t>3.各职能部门加强绩效考核的有效开展，通过考核促进员工的工作积极性，提高业务素质。</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r>
                    <w:rPr>
                      <w:rFonts w:hint="eastAsia"/>
                      <w:szCs w:val="24"/>
                    </w:rPr>
                    <w:t>公司能够及时全面的收集相关法规并进行有效评估，并转化为公司制度执行，符合新法规要求；公司现有的制度，符合相关标准的要求。</w:t>
                  </w:r>
                </w:p>
              </w:tc>
              <w:tc>
                <w:tcPr>
                  <w:tcW w:w="3833" w:type="dxa"/>
                </w:tcPr>
                <w:p>
                  <w:r>
                    <w:rPr>
                      <w:rFonts w:hint="eastAsia"/>
                    </w:rPr>
                    <w:t>1加强法律法规识别的评审工作，对适宜性重点评审，做到不遗漏。</w:t>
                  </w:r>
                </w:p>
                <w:p>
                  <w:r>
                    <w:rPr>
                      <w:rFonts w:hint="eastAsia"/>
                    </w:rPr>
                    <w:t>2.认真核对法律法规的版本的有效性。</w:t>
                  </w:r>
                </w:p>
                <w:p>
                  <w:r>
                    <w:rPr>
                      <w:rFonts w:hint="eastAsia"/>
                    </w:rPr>
                    <w:t xml:space="preserve"> 3.加强法律法规的培训与学习，并及时验证培训的有效性。</w:t>
                  </w: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rPr>
                  </w:pPr>
                </w:p>
              </w:tc>
              <w:tc>
                <w:tcPr>
                  <w:tcW w:w="3833" w:type="dxa"/>
                </w:tcPr>
                <w:p/>
              </w:tc>
              <w:tc>
                <w:tcPr>
                  <w:tcW w:w="1717" w:type="dxa"/>
                </w:tcPr>
                <w:p/>
              </w:tc>
            </w:tr>
          </w:tbl>
          <w:p>
            <w:r>
              <w:rPr>
                <w:rFonts w:hint="eastAsia"/>
                <w:highlight w:val="lightGray"/>
              </w:rPr>
              <w:t>EMS</w:t>
            </w:r>
            <w:r>
              <w:rPr>
                <w:rFonts w:hint="eastAsia"/>
              </w:rPr>
              <w:t>：</w:t>
            </w:r>
          </w:p>
          <w:p>
            <w:pPr>
              <w:pStyle w:val="6"/>
              <w:rPr>
                <w:sz w:val="21"/>
                <w:szCs w:val="20"/>
              </w:rPr>
            </w:pPr>
            <w:r>
              <w:rPr>
                <w:rFonts w:hint="eastAsia"/>
                <w:sz w:val="21"/>
                <w:szCs w:val="20"/>
              </w:rPr>
              <w:t xml:space="preserve">组织环境管理体系范围内的潜在紧急情况，如 </w:t>
            </w:r>
            <w:r>
              <w:rPr>
                <w:rFonts w:hint="eastAsia"/>
                <w:sz w:val="21"/>
                <w:szCs w:val="20"/>
              </w:rPr>
              <w:sym w:font="Wingdings" w:char="00FE"/>
            </w:r>
            <w:r>
              <w:rPr>
                <w:rFonts w:hint="eastAsia"/>
                <w:sz w:val="21"/>
                <w:szCs w:val="20"/>
              </w:rPr>
              <w:t xml:space="preserve">法规未识别  </w:t>
            </w:r>
            <w:r>
              <w:rPr>
                <w:rFonts w:hint="eastAsia"/>
                <w:sz w:val="21"/>
                <w:szCs w:val="20"/>
              </w:rPr>
              <w:sym w:font="Wingdings" w:char="00FE"/>
            </w:r>
            <w:r>
              <w:rPr>
                <w:rFonts w:hint="eastAsia"/>
                <w:sz w:val="21"/>
                <w:szCs w:val="20"/>
              </w:rPr>
              <w:t xml:space="preserve">违规操作  </w:t>
            </w:r>
            <w:r>
              <w:rPr>
                <w:rFonts w:hint="eastAsia"/>
                <w:sz w:val="21"/>
                <w:szCs w:val="20"/>
              </w:rPr>
              <w:sym w:font="Wingdings" w:char="00A8"/>
            </w:r>
            <w:r>
              <w:rPr>
                <w:rFonts w:hint="eastAsia"/>
                <w:sz w:val="21"/>
                <w:szCs w:val="20"/>
              </w:rPr>
              <w:t xml:space="preserve">其他                      </w:t>
            </w:r>
          </w:p>
          <w:p>
            <w:pPr>
              <w:pStyle w:val="6"/>
              <w:rPr>
                <w:sz w:val="21"/>
                <w:szCs w:val="20"/>
              </w:rPr>
            </w:pPr>
          </w:p>
          <w:p>
            <w:pPr>
              <w:pStyle w:val="6"/>
            </w:pPr>
            <w:r>
              <w:rPr>
                <w:rFonts w:hint="eastAsia"/>
                <w:sz w:val="21"/>
                <w:szCs w:val="20"/>
              </w:rPr>
              <w:t xml:space="preserve">可能具有环境影响的潜在紧急情况，如  </w:t>
            </w:r>
            <w:r>
              <w:rPr>
                <w:rFonts w:hint="eastAsia"/>
                <w:sz w:val="21"/>
                <w:szCs w:val="20"/>
              </w:rPr>
              <w:sym w:font="Wingdings" w:char="00FE"/>
            </w:r>
            <w:r>
              <w:rPr>
                <w:rFonts w:hint="eastAsia"/>
                <w:sz w:val="21"/>
                <w:szCs w:val="20"/>
              </w:rPr>
              <w:t xml:space="preserve">火灾  </w:t>
            </w:r>
            <w:r>
              <w:rPr>
                <w:rFonts w:hint="eastAsia"/>
                <w:sz w:val="21"/>
                <w:szCs w:val="20"/>
              </w:rPr>
              <w:sym w:font="Wingdings" w:char="00A8"/>
            </w:r>
            <w:r>
              <w:rPr>
                <w:rFonts w:hint="eastAsia"/>
                <w:sz w:val="21"/>
                <w:szCs w:val="20"/>
              </w:rPr>
              <w:t xml:space="preserve">危化品泄露 </w:t>
            </w:r>
            <w:r>
              <w:rPr>
                <w:rFonts w:hint="eastAsia"/>
                <w:sz w:val="21"/>
                <w:szCs w:val="20"/>
              </w:rPr>
              <w:sym w:font="Wingdings" w:char="00A8"/>
            </w:r>
            <w:r>
              <w:rPr>
                <w:rFonts w:hint="eastAsia"/>
                <w:sz w:val="21"/>
                <w:szCs w:val="20"/>
              </w:rPr>
              <w:t xml:space="preserve">未达标排放  </w:t>
            </w:r>
            <w:r>
              <w:rPr>
                <w:rFonts w:hint="eastAsia"/>
                <w:sz w:val="21"/>
                <w:szCs w:val="20"/>
              </w:rPr>
              <w:sym w:font="Wingdings" w:char="00A8"/>
            </w:r>
            <w:r>
              <w:rPr>
                <w:rFonts w:hint="eastAsia"/>
                <w:sz w:val="21"/>
                <w:szCs w:val="20"/>
              </w:rPr>
              <w:t xml:space="preserve">锅炉爆炸 </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43" w:hRule="atLeast"/>
        </w:trPr>
        <w:tc>
          <w:tcPr>
            <w:tcW w:w="2164" w:type="dxa"/>
            <w:vMerge w:val="restart"/>
            <w:shd w:val="clear" w:color="auto" w:fill="auto"/>
          </w:tcPr>
          <w:p>
            <w:pPr>
              <w:rPr>
                <w:szCs w:val="21"/>
              </w:rPr>
            </w:pPr>
            <w:r>
              <w:rPr>
                <w:rFonts w:hint="eastAsia"/>
                <w:szCs w:val="21"/>
              </w:rPr>
              <w:t>应对风险和机遇的措施</w:t>
            </w:r>
          </w:p>
          <w:p/>
        </w:tc>
        <w:tc>
          <w:tcPr>
            <w:tcW w:w="961" w:type="dxa"/>
            <w:vMerge w:val="restart"/>
            <w:shd w:val="clear" w:color="auto" w:fill="auto"/>
          </w:tcPr>
          <w:p>
            <w:r>
              <w:rPr>
                <w:rFonts w:hint="eastAsia"/>
                <w:szCs w:val="21"/>
              </w:rPr>
              <w:t>O6.1.1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w:t>
            </w:r>
            <w:r>
              <w:rPr>
                <w:rFonts w:hint="eastAsia"/>
                <w:szCs w:val="21"/>
              </w:rPr>
              <w:t>风险和机遇</w:t>
            </w:r>
            <w:r>
              <w:rPr>
                <w:rFonts w:hint="eastAsia"/>
              </w:rPr>
              <w:t>管理程序》、手册第6.1.1条款</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2165"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ind w:firstLine="420"/>
            </w:pPr>
          </w:p>
          <w:p>
            <w:r>
              <w:rPr>
                <w:rFonts w:hint="eastAsia"/>
              </w:rPr>
              <w:t>在确定所需应对的与职业健康安全管理体系及其预期结果有关的风险和机遇时，组织考虑了：</w:t>
            </w:r>
          </w:p>
          <w:p>
            <w:r>
              <w:rPr>
                <w:rFonts w:hint="eastAsia"/>
              </w:rPr>
              <w:sym w:font="Wingdings" w:char="00FE"/>
            </w:r>
            <w:r>
              <w:rPr>
                <w:rFonts w:hint="eastAsia" w:ascii="宋体" w:hAnsi="宋体" w:cs="宋体"/>
              </w:rPr>
              <w:t xml:space="preserve"> </w:t>
            </w:r>
            <w:r>
              <w:rPr>
                <w:rFonts w:hint="eastAsia"/>
              </w:rPr>
              <w:t>危险源</w:t>
            </w:r>
          </w:p>
          <w:p>
            <w:r>
              <w:rPr>
                <w:rFonts w:hint="eastAsia"/>
              </w:rPr>
              <w:sym w:font="Wingdings" w:char="00FE"/>
            </w:r>
            <w:r>
              <w:rPr>
                <w:rFonts w:hint="eastAsia" w:ascii="宋体" w:hAnsi="宋体" w:cs="宋体"/>
              </w:rPr>
              <w:t xml:space="preserve"> </w:t>
            </w:r>
            <w:r>
              <w:rPr>
                <w:rFonts w:hint="eastAsia"/>
              </w:rPr>
              <w:t>职业健康安全风险和其他风险</w:t>
            </w:r>
          </w:p>
          <w:p>
            <w:r>
              <w:rPr>
                <w:rFonts w:hint="eastAsia"/>
              </w:rPr>
              <w:sym w:font="Wingdings" w:char="00FE"/>
            </w:r>
            <w:r>
              <w:rPr>
                <w:rFonts w:hint="eastAsia" w:ascii="宋体" w:hAnsi="宋体" w:cs="宋体"/>
              </w:rPr>
              <w:t xml:space="preserve"> </w:t>
            </w:r>
            <w:r>
              <w:rPr>
                <w:rFonts w:hint="eastAsia"/>
              </w:rPr>
              <w:t>职业健康安全机遇和其他机遇</w:t>
            </w:r>
          </w:p>
          <w:p>
            <w:r>
              <w:rPr>
                <w:rFonts w:hint="eastAsia"/>
              </w:rPr>
              <w:sym w:font="Wingdings" w:char="00FE"/>
            </w:r>
            <w:r>
              <w:rPr>
                <w:rFonts w:hint="eastAsia" w:ascii="宋体" w:hAnsi="宋体" w:cs="宋体"/>
              </w:rPr>
              <w:t xml:space="preserve"> </w:t>
            </w:r>
            <w:r>
              <w:rPr>
                <w:rFonts w:hint="eastAsia"/>
              </w:rPr>
              <w:t>法律法规要求和其他要求</w:t>
            </w:r>
          </w:p>
          <w:p/>
          <w:p>
            <w:r>
              <w:rPr>
                <w:rFonts w:hint="eastAsia"/>
              </w:rPr>
              <w:t xml:space="preserve">列举2~3项应对主要风险的描述：         </w:t>
            </w:r>
          </w:p>
          <w:tbl>
            <w:tblPr>
              <w:tblStyle w:val="11"/>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主要的风险描述</w:t>
                  </w:r>
                </w:p>
              </w:tc>
              <w:tc>
                <w:tcPr>
                  <w:tcW w:w="4861" w:type="dxa"/>
                </w:tcPr>
                <w:p>
                  <w:pPr>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应对措施</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工伤的发生</w:t>
                  </w:r>
                </w:p>
              </w:tc>
              <w:tc>
                <w:tcPr>
                  <w:tcW w:w="48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行政部每周检查、主管部门和厂级每月、年度监测；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每天班组安全检查  </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火灾</w:t>
                  </w:r>
                </w:p>
              </w:tc>
              <w:tc>
                <w:tcPr>
                  <w:tcW w:w="48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定期检查灭火器，组织人员进行火灾应急演练</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职业病的发生</w:t>
                  </w:r>
                </w:p>
              </w:tc>
              <w:tc>
                <w:tcPr>
                  <w:tcW w:w="486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定期体检，合理安排工时等</w:t>
                  </w:r>
                </w:p>
              </w:tc>
              <w:tc>
                <w:tcPr>
                  <w:tcW w:w="171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有效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无效</w:t>
                  </w:r>
                </w:p>
              </w:tc>
            </w:tr>
          </w:tbl>
          <w:p/>
          <w:p>
            <w:r>
              <w:rPr>
                <w:rFonts w:hint="eastAsia"/>
              </w:rPr>
              <w:t xml:space="preserve">改进职业健康安全绩效的机遇可包括： </w:t>
            </w:r>
          </w:p>
          <w:p>
            <w:r>
              <w:rPr>
                <w:rFonts w:hint="eastAsia"/>
              </w:rPr>
              <w:sym w:font="Wingdings" w:char="00FE"/>
            </w:r>
            <w:r>
              <w:rPr>
                <w:rFonts w:hint="eastAsia"/>
              </w:rPr>
              <w:t xml:space="preserve">发挥检查和审核作用                    </w:t>
            </w:r>
            <w:r>
              <w:rPr>
                <w:rFonts w:hint="eastAsia"/>
              </w:rPr>
              <w:sym w:font="Wingdings" w:char="00FE"/>
            </w:r>
            <w:r>
              <w:t>工作危险源分析（工作安全分析）和相关任务评价</w:t>
            </w:r>
            <w:r>
              <w:rPr>
                <w:rFonts w:hint="eastAsia"/>
              </w:rPr>
              <w:t xml:space="preserve">  </w:t>
            </w:r>
          </w:p>
          <w:p>
            <w:r>
              <w:rPr>
                <w:rFonts w:hint="eastAsia"/>
              </w:rPr>
              <w:sym w:font="Wingdings" w:char="00FE"/>
            </w:r>
            <w:r>
              <w:t>通过减轻单调的工作或具有潜在危险的预设工作速率的工作来改进职业健康安全绩效</w:t>
            </w:r>
            <w:r>
              <w:rPr>
                <w:rFonts w:hint="eastAsia"/>
              </w:rPr>
              <w:t xml:space="preserve">  </w:t>
            </w:r>
          </w:p>
          <w:p>
            <w:r>
              <w:rPr>
                <w:rFonts w:hint="eastAsia"/>
              </w:rPr>
              <w:sym w:font="Wingdings" w:char="00FE"/>
            </w:r>
            <w:r>
              <w:t>工作许可及其他的认可和控制方法</w:t>
            </w:r>
            <w:r>
              <w:rPr>
                <w:rFonts w:hint="eastAsia"/>
              </w:rPr>
              <w:t xml:space="preserve">        </w:t>
            </w:r>
            <w:r>
              <w:rPr>
                <w:rFonts w:hint="eastAsia"/>
              </w:rPr>
              <w:sym w:font="Wingdings" w:char="00FE"/>
            </w:r>
            <w:r>
              <w:t>事件或不符合调查和纠正措施</w:t>
            </w:r>
            <w:r>
              <w:rPr>
                <w:rFonts w:hint="eastAsia"/>
              </w:rPr>
              <w:t xml:space="preserve">  </w:t>
            </w:r>
          </w:p>
          <w:p>
            <w:r>
              <w:rPr>
                <w:rFonts w:hint="eastAsia"/>
              </w:rPr>
              <w:sym w:font="Wingdings" w:char="00FE"/>
            </w:r>
            <w:r>
              <w:t>人类工效学和其他与伤害预防有关的评价</w:t>
            </w:r>
            <w:r>
              <w:rPr>
                <w:rFonts w:hint="eastAsia"/>
              </w:rPr>
              <w:t xml:space="preserve">  </w:t>
            </w:r>
            <w:r>
              <w:rPr>
                <w:rFonts w:hint="eastAsia"/>
              </w:rPr>
              <w:sym w:font="Wingdings" w:char="00A8"/>
            </w:r>
            <w:r>
              <w:rPr>
                <w:rFonts w:hint="eastAsia"/>
              </w:rPr>
              <w:t>其他</w:t>
            </w:r>
          </w:p>
          <w:p/>
          <w:p>
            <w:r>
              <w:rPr>
                <w:rFonts w:hint="eastAsia"/>
              </w:rPr>
              <w:t>改进职业健康安全绩效的其他机遇包括：</w:t>
            </w:r>
          </w:p>
          <w:p>
            <w:r>
              <w:rPr>
                <w:rFonts w:hint="eastAsia"/>
              </w:rPr>
              <w:sym w:font="Wingdings" w:char="00FE"/>
            </w:r>
            <w:r>
              <w:rPr>
                <w:rFonts w:hint="eastAsia"/>
              </w:rPr>
              <w:t xml:space="preserve"> 对于设施重置、过程重设，或机器和厂房的更换的策划，在设施、设备或过程的生命周期最早期阶段融入职业健康安全要求；</w:t>
            </w:r>
          </w:p>
          <w:p>
            <w:r>
              <w:rPr>
                <w:rFonts w:hint="eastAsia"/>
              </w:rPr>
              <w:sym w:font="Wingdings" w:char="00FE"/>
            </w:r>
            <w:r>
              <w:rPr>
                <w:rFonts w:hint="eastAsia"/>
              </w:rPr>
              <w:t xml:space="preserve"> 对于设施重置、过程重设，或机器和厂房的更换，在策划的最早期阶段融入职业健康安全要求；</w:t>
            </w:r>
          </w:p>
          <w:p>
            <w:r>
              <w:rPr>
                <w:rFonts w:hint="eastAsia"/>
              </w:rPr>
              <w:sym w:font="Wingdings" w:char="00FE"/>
            </w:r>
            <w:r>
              <w:rPr>
                <w:rFonts w:hint="eastAsia"/>
              </w:rPr>
              <w:t xml:space="preserve"> 应用新技术提升职业健康安全绩效；</w:t>
            </w:r>
          </w:p>
          <w:p>
            <w:r>
              <w:rPr>
                <w:rFonts w:hint="eastAsia"/>
              </w:rPr>
              <w:sym w:font="Wingdings" w:char="00FE"/>
            </w:r>
            <w:r>
              <w:rPr>
                <w:rFonts w:hint="eastAsia"/>
              </w:rPr>
              <w:t xml:space="preserve"> 通过诸如扩展超越要求的与职业健康安全相关的能力，或鼓励工作人员及时报告事件等来改善职业健康安全文化；</w:t>
            </w:r>
          </w:p>
          <w:p>
            <w:r>
              <w:rPr>
                <w:rFonts w:hint="eastAsia"/>
              </w:rPr>
              <w:sym w:font="Wingdings" w:char="00FE"/>
            </w:r>
            <w:r>
              <w:rPr>
                <w:rFonts w:hint="eastAsia"/>
              </w:rPr>
              <w:t xml:space="preserve"> 提高对最高管理者支持职业健康安全管理体系的感知度；</w:t>
            </w:r>
          </w:p>
          <w:p>
            <w:r>
              <w:rPr>
                <w:rFonts w:hint="eastAsia"/>
              </w:rPr>
              <w:sym w:font="Wingdings" w:char="00FE"/>
            </w:r>
            <w:r>
              <w:rPr>
                <w:rFonts w:hint="eastAsia"/>
              </w:rPr>
              <w:t xml:space="preserve"> 强化事件调查过程；</w:t>
            </w:r>
          </w:p>
          <w:p>
            <w:r>
              <w:rPr>
                <w:rFonts w:hint="eastAsia"/>
              </w:rPr>
              <w:sym w:font="Wingdings" w:char="00FE"/>
            </w:r>
            <w:r>
              <w:rPr>
                <w:rFonts w:hint="eastAsia"/>
              </w:rPr>
              <w:t xml:space="preserve"> 改进工作人员协商和参与的过程；</w:t>
            </w:r>
          </w:p>
          <w:p>
            <w:r>
              <w:rPr>
                <w:rFonts w:hint="eastAsia"/>
              </w:rPr>
              <w:sym w:font="Wingdings" w:char="00FE"/>
            </w:r>
            <w:r>
              <w:rPr>
                <w:rFonts w:hint="eastAsia"/>
              </w:rPr>
              <w:t xml:space="preserve"> 标杆管理，包括考虑组织自身以往的绩效和其他组织的绩效；</w:t>
            </w:r>
          </w:p>
          <w:p>
            <w:r>
              <w:rPr>
                <w:rFonts w:hint="eastAsia"/>
              </w:rPr>
              <w:sym w:font="Wingdings" w:char="00FE"/>
            </w:r>
            <w:r>
              <w:rPr>
                <w:rFonts w:hint="eastAsia"/>
              </w:rPr>
              <w:t xml:space="preserve"> 在职业健康安全专题论坛中寻求合作。</w:t>
            </w:r>
          </w:p>
          <w:p/>
          <w:p>
            <w:r>
              <w:rPr>
                <w:rFonts w:hint="eastAsia"/>
              </w:rPr>
              <w:t>列举2~3项应对重要机遇的描述：</w:t>
            </w:r>
          </w:p>
          <w:tbl>
            <w:tblPr>
              <w:tblStyle w:val="11"/>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r>
                    <w:rPr>
                      <w:rFonts w:hint="eastAsia"/>
                    </w:rPr>
                    <w:t>主要的机遇描述</w:t>
                  </w:r>
                </w:p>
              </w:tc>
              <w:tc>
                <w:tcPr>
                  <w:tcW w:w="4856"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r>
                    <w:rPr>
                      <w:rFonts w:hint="eastAsia"/>
                    </w:rPr>
                    <w:t>良好的市场竞争</w:t>
                  </w:r>
                </w:p>
              </w:tc>
              <w:tc>
                <w:tcPr>
                  <w:tcW w:w="4856" w:type="dxa"/>
                </w:tcPr>
                <w:p>
                  <w:r>
                    <w:rPr>
                      <w:rFonts w:hint="eastAsia"/>
                    </w:rPr>
                    <w:t>不发生职业健康安全事故，建立良好声誉</w:t>
                  </w:r>
                </w:p>
                <w:p>
                  <w:pPr>
                    <w:pStyle w:val="6"/>
                  </w:pPr>
                  <w:r>
                    <w:rPr>
                      <w:rFonts w:hint="eastAsia"/>
                    </w:rPr>
                    <w:t>建立良好的工作环境</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rPr>
                      <w:szCs w:val="24"/>
                    </w:rPr>
                  </w:pPr>
                </w:p>
              </w:tc>
              <w:tc>
                <w:tcPr>
                  <w:tcW w:w="4856"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rPr>
                      <w:szCs w:val="24"/>
                    </w:rPr>
                  </w:pPr>
                </w:p>
              </w:tc>
              <w:tc>
                <w:tcPr>
                  <w:tcW w:w="4856" w:type="dxa"/>
                </w:tcPr>
                <w:p/>
              </w:tc>
              <w:tc>
                <w:tcPr>
                  <w:tcW w:w="1717" w:type="dxa"/>
                </w:tcPr>
                <w:p/>
              </w:tc>
            </w:tr>
          </w:tbl>
          <w:p/>
          <w:p>
            <w:r>
              <w:rPr>
                <w:rFonts w:hint="eastAsia"/>
              </w:rPr>
              <w:t>组织职业健康安全管理体系范围内的潜在紧急情况，如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可能具有职业健康安全风险的潜在紧急情况，如</w:t>
            </w:r>
            <w:r>
              <w:rPr>
                <w:rFonts w:hint="eastAsia"/>
                <w:u w:val="single"/>
              </w:rPr>
              <w:t xml:space="preserve">  </w:t>
            </w:r>
            <w:r>
              <w:rPr>
                <w:rFonts w:hint="eastAsia"/>
                <w:u w:val="single"/>
              </w:rPr>
              <w:sym w:font="Wingdings" w:char="00FE"/>
            </w:r>
            <w:r>
              <w:rPr>
                <w:rFonts w:hint="eastAsia"/>
                <w:u w:val="single"/>
              </w:rPr>
              <w:t xml:space="preserve">火灾  </w:t>
            </w:r>
            <w:r>
              <w:rPr>
                <w:rFonts w:hint="eastAsia"/>
                <w:u w:val="single"/>
              </w:rPr>
              <w:sym w:font="Wingdings" w:char="00A8"/>
            </w:r>
            <w:r>
              <w:rPr>
                <w:rFonts w:hint="eastAsia"/>
                <w:u w:val="single"/>
              </w:rPr>
              <w:t xml:space="preserve">危化品泄露 </w:t>
            </w:r>
            <w:r>
              <w:rPr>
                <w:rFonts w:hint="eastAsia"/>
                <w:u w:val="single"/>
              </w:rPr>
              <w:sym w:font="Wingdings" w:char="00FE"/>
            </w:r>
            <w:r>
              <w:rPr>
                <w:rFonts w:hint="eastAsia"/>
                <w:u w:val="single"/>
              </w:rPr>
              <w:t xml:space="preserve">发生工伤  </w:t>
            </w:r>
            <w:r>
              <w:rPr>
                <w:rFonts w:hint="eastAsia"/>
                <w:u w:val="single"/>
              </w:rPr>
              <w:sym w:font="Wingdings" w:char="00A8"/>
            </w:r>
            <w:r>
              <w:rPr>
                <w:rFonts w:hint="eastAsia"/>
                <w:u w:val="single"/>
              </w:rPr>
              <w:t>锅炉爆炸</w:t>
            </w:r>
          </w:p>
          <w:p>
            <w:r>
              <w:rPr>
                <w:rFonts w:hint="eastAsia"/>
                <w:u w:val="single"/>
              </w:rPr>
              <w:sym w:font="Wingdings" w:char="00A8"/>
            </w:r>
            <w:r>
              <w:rPr>
                <w:rFonts w:hint="eastAsia"/>
                <w:u w:val="single"/>
              </w:rPr>
              <w:t xml:space="preserve"> 职业病产生                      </w:t>
            </w:r>
          </w:p>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pPr>
              <w:rPr>
                <w:color w:val="000000"/>
                <w:szCs w:val="21"/>
              </w:rPr>
            </w:pPr>
            <w:r>
              <w:rPr>
                <w:rFonts w:hint="eastAsia"/>
                <w:color w:val="000000"/>
                <w:szCs w:val="21"/>
              </w:rPr>
              <w:t>管理目标及其实现的策划</w:t>
            </w:r>
          </w:p>
          <w:p/>
        </w:tc>
        <w:tc>
          <w:tcPr>
            <w:tcW w:w="961" w:type="dxa"/>
            <w:vMerge w:val="restart"/>
            <w:shd w:val="clear" w:color="auto" w:fill="auto"/>
          </w:tcPr>
          <w:p>
            <w:r>
              <w:rPr>
                <w:rFonts w:hint="eastAsia"/>
              </w:rPr>
              <w:t>Q6.2</w:t>
            </w:r>
          </w:p>
          <w:p>
            <w:pPr>
              <w:pStyle w:val="2"/>
              <w:rPr>
                <w:color w:val="000000"/>
                <w:szCs w:val="21"/>
              </w:rPr>
            </w:pPr>
            <w:r>
              <w:rPr>
                <w:rFonts w:hint="eastAsia"/>
                <w:color w:val="000000"/>
                <w:szCs w:val="21"/>
              </w:rPr>
              <w:t>E6.2</w:t>
            </w:r>
          </w:p>
          <w:p>
            <w:pPr>
              <w:pStyle w:val="2"/>
              <w:rPr>
                <w:color w:val="000000"/>
                <w:szCs w:val="21"/>
              </w:rPr>
            </w:pPr>
            <w:r>
              <w:rPr>
                <w:rFonts w:hint="eastAsia"/>
                <w:color w:val="000000"/>
                <w:szCs w:val="21"/>
              </w:rPr>
              <w:t>O6.2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手册第6.2章、</w:t>
            </w:r>
            <w:r>
              <w:rPr/>
              <w:sym w:font="Wingdings" w:char="00FE"/>
            </w:r>
            <w:r>
              <w:rPr>
                <w:rFonts w:hint="eastAsia"/>
              </w:rPr>
              <w:t>《目标分解及完成情况考核表》</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组织建立了与方针一致的文件化的管理目标。为实现总的管理目标而建立的各层级的目标，具体、有针对性、可测量并且可实现。</w:t>
            </w:r>
          </w:p>
          <w:p>
            <w:r>
              <w:rPr>
                <w:rFonts w:hint="eastAsia"/>
              </w:rPr>
              <w:t>总管理目标的实现情况的评价，及其测量方法是：</w:t>
            </w:r>
          </w:p>
          <w:p>
            <w:pPr>
              <w:pStyle w:val="2"/>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1596"/>
              <w:gridCol w:w="1997"/>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rPr>
                      <w:rFonts w:ascii="宋体" w:hAnsi="宋体"/>
                      <w:szCs w:val="21"/>
                    </w:rPr>
                  </w:pPr>
                  <w:r>
                    <w:rPr>
                      <w:rFonts w:hint="eastAsia" w:ascii="宋体" w:hAnsi="宋体"/>
                      <w:szCs w:val="21"/>
                    </w:rPr>
                    <w:t>管理目标</w:t>
                  </w:r>
                </w:p>
              </w:tc>
              <w:tc>
                <w:tcPr>
                  <w:tcW w:w="1596" w:type="dxa"/>
                  <w:shd w:val="clear" w:color="auto" w:fill="auto"/>
                </w:tcPr>
                <w:p>
                  <w:pPr>
                    <w:rPr>
                      <w:rFonts w:ascii="宋体" w:hAnsi="宋体"/>
                      <w:szCs w:val="21"/>
                    </w:rPr>
                  </w:pPr>
                  <w:r>
                    <w:rPr>
                      <w:rFonts w:hint="eastAsia" w:ascii="宋体" w:hAnsi="宋体"/>
                      <w:szCs w:val="21"/>
                    </w:rPr>
                    <w:t>计算方法</w:t>
                  </w:r>
                </w:p>
              </w:tc>
              <w:tc>
                <w:tcPr>
                  <w:tcW w:w="1997" w:type="dxa"/>
                  <w:shd w:val="clear" w:color="auto" w:fill="auto"/>
                </w:tcPr>
                <w:p>
                  <w:pPr>
                    <w:rPr>
                      <w:rFonts w:ascii="宋体" w:hAnsi="宋体"/>
                      <w:szCs w:val="21"/>
                    </w:rPr>
                  </w:pPr>
                  <w:r>
                    <w:rPr>
                      <w:rFonts w:hint="eastAsia" w:ascii="宋体" w:hAnsi="宋体"/>
                      <w:szCs w:val="21"/>
                    </w:rPr>
                    <w:t>责任部门</w:t>
                  </w:r>
                </w:p>
              </w:tc>
              <w:tc>
                <w:tcPr>
                  <w:tcW w:w="2184" w:type="dxa"/>
                  <w:shd w:val="clear" w:color="auto" w:fill="auto"/>
                </w:tcPr>
                <w:p>
                  <w:pPr>
                    <w:rPr>
                      <w:rFonts w:ascii="宋体" w:hAnsi="宋体"/>
                      <w:szCs w:val="21"/>
                    </w:rPr>
                  </w:pPr>
                  <w:r>
                    <w:rPr>
                      <w:rFonts w:hint="eastAsia" w:ascii="宋体" w:hAnsi="宋体"/>
                      <w:szCs w:val="21"/>
                    </w:rPr>
                    <w:t>目标实际完成</w:t>
                  </w:r>
                </w:p>
                <w:p>
                  <w:pPr>
                    <w:rPr>
                      <w:rFonts w:ascii="宋体" w:hAnsi="宋体"/>
                      <w:szCs w:val="21"/>
                    </w:rPr>
                  </w:pPr>
                  <w:r>
                    <w:rPr>
                      <w:rFonts w:hint="eastAsia" w:ascii="宋体" w:hAnsi="宋体"/>
                      <w:szCs w:val="21"/>
                    </w:rPr>
                    <w:t>（202</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widowControl/>
                    <w:spacing w:before="40"/>
                    <w:jc w:val="left"/>
                    <w:rPr>
                      <w:color w:val="000000"/>
                      <w:szCs w:val="21"/>
                      <w:lang w:val="en-GB"/>
                    </w:rPr>
                  </w:pPr>
                  <w:r>
                    <w:rPr>
                      <w:rFonts w:hint="eastAsia"/>
                      <w:color w:val="000000"/>
                      <w:szCs w:val="21"/>
                      <w:lang w:val="en-GB"/>
                    </w:rPr>
                    <w:t>销售产品一年内故障率＜2%</w:t>
                  </w:r>
                </w:p>
              </w:tc>
              <w:tc>
                <w:tcPr>
                  <w:tcW w:w="1596" w:type="dxa"/>
                  <w:shd w:val="clear" w:color="auto" w:fill="auto"/>
                </w:tcPr>
                <w:p>
                  <w:pPr>
                    <w:widowControl/>
                    <w:spacing w:before="40"/>
                    <w:jc w:val="left"/>
                    <w:rPr>
                      <w:color w:val="000000"/>
                      <w:szCs w:val="21"/>
                      <w:lang w:val="en-GB"/>
                    </w:rPr>
                  </w:pPr>
                  <w:r>
                    <w:rPr>
                      <w:rFonts w:hint="eastAsia"/>
                      <w:color w:val="000000"/>
                      <w:szCs w:val="21"/>
                      <w:lang w:val="en-GB"/>
                    </w:rPr>
                    <w:t>——</w:t>
                  </w:r>
                </w:p>
              </w:tc>
              <w:tc>
                <w:tcPr>
                  <w:tcW w:w="1997" w:type="dxa"/>
                  <w:shd w:val="clear" w:color="auto" w:fill="auto"/>
                </w:tcPr>
                <w:p>
                  <w:pPr>
                    <w:widowControl/>
                    <w:spacing w:before="40"/>
                    <w:jc w:val="left"/>
                    <w:rPr>
                      <w:color w:val="000000"/>
                      <w:szCs w:val="21"/>
                    </w:rPr>
                  </w:pPr>
                  <w:r>
                    <w:rPr>
                      <w:rFonts w:hint="eastAsia"/>
                      <w:color w:val="000000"/>
                      <w:szCs w:val="21"/>
                    </w:rPr>
                    <w:t>公司</w:t>
                  </w:r>
                </w:p>
              </w:tc>
              <w:tc>
                <w:tcPr>
                  <w:tcW w:w="2184" w:type="dxa"/>
                  <w:shd w:val="clear" w:color="auto" w:fill="auto"/>
                </w:tcPr>
                <w:p>
                  <w:pPr>
                    <w:widowControl/>
                    <w:spacing w:before="40"/>
                    <w:jc w:val="left"/>
                    <w:rPr>
                      <w:color w:val="000000"/>
                      <w:szCs w:val="21"/>
                    </w:rPr>
                  </w:pPr>
                  <w: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widowControl/>
                    <w:spacing w:before="40"/>
                    <w:jc w:val="left"/>
                    <w:rPr>
                      <w:color w:val="000000"/>
                      <w:szCs w:val="21"/>
                      <w:lang w:val="en-GB"/>
                    </w:rPr>
                  </w:pPr>
                  <w:r>
                    <w:rPr>
                      <w:rFonts w:hint="eastAsia"/>
                      <w:color w:val="000000"/>
                      <w:szCs w:val="21"/>
                      <w:lang w:val="en-GB"/>
                    </w:rPr>
                    <w:t>顾客质量投诉一年内不超过两次</w:t>
                  </w:r>
                </w:p>
              </w:tc>
              <w:tc>
                <w:tcPr>
                  <w:tcW w:w="1596" w:type="dxa"/>
                  <w:shd w:val="clear" w:color="auto" w:fill="auto"/>
                </w:tcPr>
                <w:p>
                  <w:pPr>
                    <w:widowControl/>
                    <w:spacing w:before="40"/>
                    <w:jc w:val="left"/>
                    <w:rPr>
                      <w:color w:val="000000"/>
                      <w:szCs w:val="21"/>
                    </w:rPr>
                  </w:pPr>
                  <w:r>
                    <w:rPr>
                      <w:rFonts w:hint="eastAsia"/>
                      <w:color w:val="000000"/>
                      <w:szCs w:val="21"/>
                    </w:rPr>
                    <w:t>——</w:t>
                  </w:r>
                </w:p>
              </w:tc>
              <w:tc>
                <w:tcPr>
                  <w:tcW w:w="1997" w:type="dxa"/>
                  <w:shd w:val="clear" w:color="auto" w:fill="auto"/>
                </w:tcPr>
                <w:p>
                  <w:pPr>
                    <w:widowControl/>
                    <w:spacing w:before="40"/>
                    <w:jc w:val="left"/>
                    <w:rPr>
                      <w:color w:val="000000"/>
                      <w:szCs w:val="21"/>
                    </w:rPr>
                  </w:pPr>
                  <w:r>
                    <w:rPr>
                      <w:rFonts w:hint="eastAsia"/>
                      <w:color w:val="000000"/>
                      <w:szCs w:val="21"/>
                    </w:rPr>
                    <w:t>公司</w:t>
                  </w:r>
                </w:p>
              </w:tc>
              <w:tc>
                <w:tcPr>
                  <w:tcW w:w="2184" w:type="dxa"/>
                  <w:shd w:val="clear" w:color="auto" w:fill="auto"/>
                </w:tcPr>
                <w:p>
                  <w:pPr>
                    <w:widowControl/>
                    <w:spacing w:before="40"/>
                    <w:jc w:val="left"/>
                    <w:rPr>
                      <w:color w:val="000000"/>
                      <w:szCs w:val="21"/>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widowControl/>
                    <w:spacing w:before="40"/>
                    <w:jc w:val="left"/>
                    <w:rPr>
                      <w:color w:val="000000"/>
                      <w:szCs w:val="21"/>
                      <w:lang w:val="en-GB"/>
                    </w:rPr>
                  </w:pPr>
                  <w:r>
                    <w:rPr>
                      <w:rFonts w:hint="eastAsia"/>
                      <w:color w:val="000000"/>
                      <w:szCs w:val="21"/>
                      <w:lang w:val="en-GB"/>
                    </w:rPr>
                    <w:t>固体废弃物1</w:t>
                  </w:r>
                  <w:r>
                    <w:rPr>
                      <w:color w:val="000000"/>
                      <w:szCs w:val="21"/>
                      <w:lang w:val="en-GB"/>
                    </w:rPr>
                    <w:t>00</w:t>
                  </w:r>
                  <w:r>
                    <w:rPr>
                      <w:rFonts w:hint="eastAsia"/>
                      <w:color w:val="000000"/>
                      <w:szCs w:val="21"/>
                      <w:lang w:val="en-GB"/>
                    </w:rPr>
                    <w:t>%分类处理</w:t>
                  </w:r>
                </w:p>
              </w:tc>
              <w:tc>
                <w:tcPr>
                  <w:tcW w:w="1596" w:type="dxa"/>
                  <w:shd w:val="clear" w:color="auto" w:fill="auto"/>
                </w:tcPr>
                <w:p>
                  <w:pPr>
                    <w:widowControl/>
                    <w:spacing w:before="40"/>
                    <w:jc w:val="left"/>
                    <w:rPr>
                      <w:color w:val="000000"/>
                      <w:szCs w:val="21"/>
                    </w:rPr>
                  </w:pPr>
                  <w:r>
                    <w:rPr>
                      <w:rFonts w:hint="eastAsia"/>
                      <w:color w:val="000000"/>
                      <w:szCs w:val="21"/>
                    </w:rPr>
                    <w:t>——</w:t>
                  </w:r>
                </w:p>
              </w:tc>
              <w:tc>
                <w:tcPr>
                  <w:tcW w:w="1997" w:type="dxa"/>
                  <w:shd w:val="clear" w:color="auto" w:fill="auto"/>
                </w:tcPr>
                <w:p>
                  <w:pPr>
                    <w:widowControl/>
                    <w:spacing w:before="40"/>
                    <w:jc w:val="left"/>
                    <w:rPr>
                      <w:color w:val="000000"/>
                      <w:szCs w:val="21"/>
                    </w:rPr>
                  </w:pPr>
                  <w:r>
                    <w:rPr>
                      <w:rFonts w:hint="eastAsia"/>
                      <w:color w:val="000000"/>
                      <w:szCs w:val="21"/>
                    </w:rPr>
                    <w:t>行政部</w:t>
                  </w:r>
                </w:p>
              </w:tc>
              <w:tc>
                <w:tcPr>
                  <w:tcW w:w="2184" w:type="dxa"/>
                  <w:shd w:val="clear" w:color="auto" w:fill="auto"/>
                </w:tcPr>
                <w:p>
                  <w:pPr>
                    <w:widowControl/>
                    <w:spacing w:before="40"/>
                    <w:jc w:val="left"/>
                  </w:pPr>
                  <w:r>
                    <w:rPr>
                      <w:rFonts w:hint="eastAsia"/>
                    </w:rPr>
                    <w:t>1</w:t>
                  </w:r>
                  <w:r>
                    <w:t>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pStyle w:val="8"/>
                    <w:widowControl/>
                    <w:spacing w:beforeAutospacing="0" w:afterAutospacing="0"/>
                    <w:rPr>
                      <w:rFonts w:ascii="宋体" w:hAnsi="宋体"/>
                      <w:kern w:val="2"/>
                      <w:sz w:val="21"/>
                      <w:szCs w:val="21"/>
                    </w:rPr>
                  </w:pPr>
                  <w:r>
                    <w:rPr>
                      <w:rFonts w:hint="eastAsia" w:ascii="宋体" w:hAnsi="宋体"/>
                      <w:kern w:val="2"/>
                      <w:sz w:val="21"/>
                      <w:szCs w:val="21"/>
                    </w:rPr>
                    <w:t>火灾事故发生0次</w:t>
                  </w:r>
                </w:p>
              </w:tc>
              <w:tc>
                <w:tcPr>
                  <w:tcW w:w="1596" w:type="dxa"/>
                  <w:shd w:val="clear" w:color="auto" w:fill="auto"/>
                </w:tcPr>
                <w:p>
                  <w:pPr>
                    <w:widowControl/>
                    <w:spacing w:before="40"/>
                    <w:jc w:val="left"/>
                    <w:rPr>
                      <w:color w:val="000000"/>
                      <w:szCs w:val="21"/>
                    </w:rPr>
                  </w:pPr>
                  <w:r>
                    <w:rPr>
                      <w:rFonts w:hint="eastAsia"/>
                      <w:color w:val="000000"/>
                      <w:szCs w:val="21"/>
                    </w:rPr>
                    <w:t>——</w:t>
                  </w:r>
                </w:p>
              </w:tc>
              <w:tc>
                <w:tcPr>
                  <w:tcW w:w="1997" w:type="dxa"/>
                  <w:shd w:val="clear" w:color="auto" w:fill="auto"/>
                </w:tcPr>
                <w:p>
                  <w:pPr>
                    <w:widowControl/>
                    <w:spacing w:before="40"/>
                    <w:jc w:val="left"/>
                    <w:rPr>
                      <w:color w:val="000000"/>
                      <w:szCs w:val="21"/>
                    </w:rPr>
                  </w:pPr>
                  <w:r>
                    <w:rPr>
                      <w:rFonts w:hint="eastAsia"/>
                      <w:color w:val="000000"/>
                      <w:szCs w:val="21"/>
                    </w:rPr>
                    <w:t>行政部</w:t>
                  </w:r>
                </w:p>
              </w:tc>
              <w:tc>
                <w:tcPr>
                  <w:tcW w:w="2184" w:type="dxa"/>
                  <w:shd w:val="clear" w:color="auto" w:fill="auto"/>
                </w:tcPr>
                <w:p>
                  <w:pPr>
                    <w:widowControl/>
                    <w:spacing w:before="40"/>
                    <w:jc w:val="left"/>
                    <w:rPr>
                      <w:color w:val="000000"/>
                      <w:szCs w:val="21"/>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widowControl/>
                    <w:spacing w:before="40"/>
                    <w:jc w:val="left"/>
                    <w:rPr>
                      <w:color w:val="000000"/>
                      <w:szCs w:val="21"/>
                      <w:lang w:val="en-GB"/>
                    </w:rPr>
                  </w:pPr>
                  <w:r>
                    <w:rPr>
                      <w:rFonts w:hint="eastAsia"/>
                      <w:color w:val="000000"/>
                      <w:szCs w:val="21"/>
                      <w:lang w:val="en-GB"/>
                    </w:rPr>
                    <w:t>全年触电事故发生次数为0</w:t>
                  </w:r>
                </w:p>
              </w:tc>
              <w:tc>
                <w:tcPr>
                  <w:tcW w:w="1596" w:type="dxa"/>
                  <w:shd w:val="clear" w:color="auto" w:fill="auto"/>
                </w:tcPr>
                <w:p>
                  <w:pPr>
                    <w:widowControl/>
                    <w:spacing w:before="40"/>
                    <w:jc w:val="left"/>
                    <w:rPr>
                      <w:color w:val="000000"/>
                      <w:szCs w:val="21"/>
                    </w:rPr>
                  </w:pPr>
                  <w:r>
                    <w:rPr>
                      <w:rFonts w:hint="eastAsia"/>
                      <w:color w:val="000000"/>
                      <w:szCs w:val="21"/>
                    </w:rPr>
                    <w:t>——</w:t>
                  </w:r>
                </w:p>
              </w:tc>
              <w:tc>
                <w:tcPr>
                  <w:tcW w:w="1997" w:type="dxa"/>
                  <w:shd w:val="clear" w:color="auto" w:fill="auto"/>
                </w:tcPr>
                <w:p>
                  <w:pPr>
                    <w:widowControl/>
                    <w:spacing w:before="40"/>
                    <w:jc w:val="left"/>
                    <w:rPr>
                      <w:color w:val="000000"/>
                      <w:szCs w:val="21"/>
                    </w:rPr>
                  </w:pPr>
                  <w:r>
                    <w:rPr>
                      <w:rFonts w:hint="eastAsia"/>
                      <w:color w:val="000000"/>
                      <w:szCs w:val="21"/>
                    </w:rPr>
                    <w:t>行政部</w:t>
                  </w:r>
                </w:p>
              </w:tc>
              <w:tc>
                <w:tcPr>
                  <w:tcW w:w="2184" w:type="dxa"/>
                  <w:shd w:val="clear" w:color="auto" w:fill="auto"/>
                </w:tcPr>
                <w:p>
                  <w:pPr>
                    <w:widowControl/>
                    <w:spacing w:before="40"/>
                    <w:jc w:val="lef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shd w:val="clear" w:color="auto" w:fill="auto"/>
                </w:tcPr>
                <w:p>
                  <w:pPr>
                    <w:widowControl/>
                    <w:spacing w:before="40"/>
                    <w:jc w:val="left"/>
                    <w:rPr>
                      <w:color w:val="000000"/>
                      <w:szCs w:val="21"/>
                      <w:lang w:val="en-GB"/>
                    </w:rPr>
                  </w:pPr>
                </w:p>
              </w:tc>
              <w:tc>
                <w:tcPr>
                  <w:tcW w:w="1596" w:type="dxa"/>
                  <w:shd w:val="clear" w:color="auto" w:fill="auto"/>
                </w:tcPr>
                <w:p>
                  <w:pPr>
                    <w:widowControl/>
                    <w:spacing w:before="40"/>
                    <w:jc w:val="left"/>
                    <w:rPr>
                      <w:color w:val="000000"/>
                      <w:szCs w:val="21"/>
                    </w:rPr>
                  </w:pPr>
                </w:p>
              </w:tc>
              <w:tc>
                <w:tcPr>
                  <w:tcW w:w="1997" w:type="dxa"/>
                  <w:shd w:val="clear" w:color="auto" w:fill="auto"/>
                </w:tcPr>
                <w:p>
                  <w:pPr>
                    <w:widowControl/>
                    <w:spacing w:before="40"/>
                    <w:jc w:val="left"/>
                    <w:rPr>
                      <w:color w:val="000000"/>
                      <w:szCs w:val="21"/>
                    </w:rPr>
                  </w:pPr>
                </w:p>
              </w:tc>
              <w:tc>
                <w:tcPr>
                  <w:tcW w:w="2184" w:type="dxa"/>
                  <w:shd w:val="clear" w:color="auto" w:fill="auto"/>
                </w:tcPr>
                <w:p>
                  <w:pPr>
                    <w:widowControl/>
                    <w:spacing w:before="40"/>
                    <w:jc w:val="left"/>
                  </w:pP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rPr>
              <w:t>目标提供了完成情况的考核结果，未保留实施过程中考核的方法，具体实现的情况，已现场沟通。各部门的目标实现情况见各部门的审核记录。</w:t>
            </w:r>
          </w:p>
          <w:p>
            <w:r>
              <w:rPr>
                <w:rFonts w:hint="eastAsia"/>
              </w:rPr>
              <w:sym w:font="Wingdings" w:char="00A8"/>
            </w:r>
            <w:r>
              <w:rPr>
                <w:rFonts w:hint="eastAsia"/>
              </w:rPr>
              <w:t>目标没有实现的，组织在内部及时进行原因分析并采取了改进措施。</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pPr>
              <w:rPr>
                <w:color w:val="000000"/>
                <w:szCs w:val="21"/>
              </w:rPr>
            </w:pPr>
            <w:r>
              <w:rPr>
                <w:rFonts w:hint="eastAsia"/>
                <w:color w:val="000000"/>
                <w:szCs w:val="21"/>
              </w:rPr>
              <w:t>变更的策划</w:t>
            </w:r>
          </w:p>
          <w:p/>
        </w:tc>
        <w:tc>
          <w:tcPr>
            <w:tcW w:w="961" w:type="dxa"/>
            <w:vMerge w:val="restart"/>
            <w:shd w:val="clear" w:color="auto" w:fill="auto"/>
          </w:tcPr>
          <w:p>
            <w:pPr>
              <w:rPr>
                <w:color w:val="000000"/>
                <w:szCs w:val="21"/>
              </w:rPr>
            </w:pPr>
            <w:r>
              <w:rPr>
                <w:rFonts w:hint="eastAsia"/>
                <w:color w:val="000000"/>
                <w:szCs w:val="21"/>
              </w:rPr>
              <w:t>Q6.3</w:t>
            </w:r>
          </w:p>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sym w:font="Wingdings 2" w:char="00A3"/>
            </w:r>
            <w:r>
              <w:rPr>
                <w:rFonts w:hint="eastAsia"/>
              </w:rPr>
              <w:t xml:space="preserve">主要设备设施 □主要检测设备 </w:t>
            </w:r>
            <w:r>
              <w:rPr/>
              <w:sym w:font="Wingdings" w:char="00FE"/>
            </w:r>
            <w:r>
              <w:rPr>
                <w:rFonts w:hint="eastAsia"/>
              </w:rPr>
              <w:t>其他——审核周期内未发生</w:t>
            </w:r>
          </w:p>
          <w:p>
            <w:pPr>
              <w:pStyle w:val="6"/>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r>
                    <w:rPr>
                      <w:rFonts w:hint="eastAsia"/>
                    </w:rPr>
                    <w:t>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r>
              <w:rPr>
                <w:rFonts w:hint="eastAsia"/>
              </w:rPr>
              <w:t xml:space="preserve">     </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vMerge w:val="restart"/>
            <w:shd w:val="clear" w:color="auto" w:fill="auto"/>
          </w:tcPr>
          <w:p>
            <w:r>
              <w:rPr>
                <w:rFonts w:hint="eastAsia"/>
              </w:rPr>
              <w:t>资源（总则）</w:t>
            </w:r>
          </w:p>
        </w:tc>
        <w:tc>
          <w:tcPr>
            <w:tcW w:w="961" w:type="dxa"/>
            <w:vMerge w:val="restart"/>
            <w:shd w:val="clear" w:color="auto" w:fill="auto"/>
          </w:tcPr>
          <w:p>
            <w:pPr>
              <w:rPr>
                <w:szCs w:val="21"/>
              </w:rPr>
            </w:pPr>
            <w:r>
              <w:rPr>
                <w:rFonts w:hint="eastAsia"/>
                <w:szCs w:val="21"/>
              </w:rPr>
              <w:t>Q7.1.1</w:t>
            </w:r>
          </w:p>
          <w:p>
            <w:pPr>
              <w:pStyle w:val="6"/>
              <w:rPr>
                <w:color w:val="000000"/>
                <w:sz w:val="21"/>
                <w:szCs w:val="21"/>
              </w:rPr>
            </w:pPr>
            <w:r>
              <w:rPr>
                <w:rFonts w:hint="eastAsia"/>
                <w:color w:val="000000"/>
                <w:sz w:val="21"/>
                <w:szCs w:val="21"/>
              </w:rPr>
              <w:t>E7.1</w:t>
            </w:r>
          </w:p>
          <w:p>
            <w:pPr>
              <w:pStyle w:val="6"/>
              <w:rPr>
                <w:color w:val="000000"/>
                <w:szCs w:val="21"/>
              </w:rPr>
            </w:pPr>
            <w:r>
              <w:rPr>
                <w:rFonts w:hint="eastAsia"/>
                <w:color w:val="000000"/>
                <w:sz w:val="21"/>
                <w:szCs w:val="21"/>
              </w:rPr>
              <w:t>O7.1</w:t>
            </w:r>
          </w:p>
        </w:tc>
        <w:tc>
          <w:tcPr>
            <w:tcW w:w="745" w:type="dxa"/>
            <w:shd w:val="clear" w:color="auto" w:fill="auto"/>
          </w:tcPr>
          <w:p>
            <w:r>
              <w:rPr>
                <w:rFonts w:hint="eastAsia"/>
              </w:rPr>
              <w:t>文件名称</w:t>
            </w:r>
          </w:p>
        </w:tc>
        <w:tc>
          <w:tcPr>
            <w:tcW w:w="9256" w:type="dxa"/>
            <w:shd w:val="clear" w:color="auto" w:fill="auto"/>
          </w:tcPr>
          <w:p>
            <w:r>
              <w:rPr>
                <w:rFonts w:hint="eastAsia"/>
              </w:rPr>
              <w:t>如：管理手册第7.1章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2"/>
              </w:numPr>
              <w:rPr>
                <w:color w:val="000000"/>
                <w:szCs w:val="21"/>
              </w:rPr>
            </w:pPr>
            <w:r>
              <w:rPr>
                <w:rFonts w:hint="eastAsia"/>
                <w:color w:val="000000"/>
                <w:szCs w:val="21"/>
              </w:rPr>
              <w:t>现有内部资源的能力；</w:t>
            </w:r>
          </w:p>
          <w:p>
            <w:r>
              <w:rPr>
                <w:rFonts w:hint="eastAsia"/>
              </w:rPr>
              <w:t>办公、生产及仓库建筑面积</w:t>
            </w:r>
            <w:r>
              <w:rPr>
                <w:rFonts w:hint="eastAsia"/>
                <w:u w:val="single"/>
              </w:rPr>
              <w:t xml:space="preserve">  </w:t>
            </w:r>
            <w:r>
              <w:rPr>
                <w:u w:val="single"/>
              </w:rPr>
              <w:t>20000</w:t>
            </w:r>
            <w:r>
              <w:rPr>
                <w:rFonts w:hint="eastAsia"/>
                <w:u w:val="single"/>
              </w:rPr>
              <w:t xml:space="preserve">  </w:t>
            </w:r>
            <w:r>
              <w:rPr>
                <w:rFonts w:hint="eastAsia"/>
              </w:rPr>
              <w:t>平方米；生产车间</w:t>
            </w:r>
            <w:r>
              <w:rPr>
                <w:rFonts w:hint="eastAsia"/>
                <w:u w:val="single"/>
              </w:rPr>
              <w:t xml:space="preserve"> </w:t>
            </w:r>
            <w:r>
              <w:rPr>
                <w:u w:val="single"/>
              </w:rPr>
              <w:t xml:space="preserve">4  </w:t>
            </w:r>
            <w:r>
              <w:rPr>
                <w:rFonts w:hint="eastAsia"/>
              </w:rPr>
              <w:t>个；库房</w:t>
            </w:r>
            <w:r>
              <w:rPr>
                <w:rFonts w:hint="eastAsia"/>
                <w:u w:val="single"/>
              </w:rPr>
              <w:t xml:space="preserve"> </w:t>
            </w:r>
            <w:r>
              <w:rPr>
                <w:u w:val="single"/>
              </w:rPr>
              <w:t>3</w:t>
            </w:r>
            <w:r>
              <w:rPr>
                <w:rFonts w:hint="eastAsia"/>
                <w:u w:val="single"/>
              </w:rPr>
              <w:t xml:space="preserve"> </w:t>
            </w:r>
            <w:r>
              <w:rPr>
                <w:rFonts w:hint="eastAsia"/>
              </w:rPr>
              <w:t>个；叉车3辆；检验室/实验室</w:t>
            </w:r>
            <w:r>
              <w:rPr>
                <w:rFonts w:hint="eastAsia"/>
                <w:u w:val="single"/>
              </w:rPr>
              <w:t xml:space="preserve"> </w:t>
            </w:r>
            <w:r>
              <w:rPr>
                <w:u w:val="single"/>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多片锯、压合机、裁板锯、砂光机、四面刨、开榫机、压刨机（列举2~4种）</w:t>
            </w:r>
          </w:p>
          <w:p>
            <w:pPr>
              <w:rPr>
                <w:u w:val="single"/>
              </w:rPr>
            </w:pPr>
            <w:r>
              <w:rPr>
                <w:rFonts w:hint="eastAsia"/>
              </w:rPr>
              <w:t>主要环保设备有：</w:t>
            </w:r>
            <w:r>
              <w:rPr>
                <w:rFonts w:hint="eastAsia"/>
                <w:u w:val="single"/>
              </w:rPr>
              <w:t xml:space="preserve">  废气收集装置；垃圾桶；危险固废仓库  （列举2~4种）</w:t>
            </w:r>
          </w:p>
          <w:p>
            <w:pPr>
              <w:rPr>
                <w:u w:val="single"/>
              </w:rPr>
            </w:pPr>
            <w:r>
              <w:rPr>
                <w:rFonts w:hint="eastAsia"/>
              </w:rPr>
              <w:t>主要安全装置有：</w:t>
            </w:r>
            <w:r>
              <w:rPr>
                <w:rFonts w:hint="eastAsia"/>
                <w:u w:val="single"/>
              </w:rPr>
              <w:t xml:space="preserve">  消防栓、防爆灯、灭火器  （列举2~4种）</w:t>
            </w:r>
          </w:p>
          <w:p>
            <w:pPr>
              <w:pStyle w:val="6"/>
              <w:rPr>
                <w:highlight w:val="yellow"/>
              </w:rPr>
            </w:pPr>
          </w:p>
          <w:p>
            <w:pPr>
              <w:pStyle w:val="6"/>
              <w:rPr>
                <w:highlight w:val="yellow"/>
              </w:rPr>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sym w:font="Wingdings" w:char="00FE"/>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rFonts w:hint="eastAsia"/>
                <w:color w:val="1D41D5"/>
              </w:rPr>
              <w:t xml:space="preserve"> </w:t>
            </w:r>
            <w:r>
              <w:rPr/>
              <w:sym w:font="Wingdings" w:char="00A8"/>
            </w:r>
            <w:r>
              <w:rPr>
                <w:rFonts w:hint="eastAsia"/>
              </w:rPr>
              <w:t>水处理</w:t>
            </w:r>
            <w:r>
              <w:rPr>
                <w:rFonts w:hint="eastAsia"/>
                <w:color w:val="000000"/>
              </w:rPr>
              <w:t xml:space="preserve"> </w:t>
            </w:r>
            <w:r>
              <w:rPr/>
              <w:sym w:font="Wingdings" w:char="00FE"/>
            </w:r>
            <w:r>
              <w:rPr>
                <w:rFonts w:hint="eastAsia"/>
                <w:color w:val="000000"/>
              </w:rPr>
              <w:t xml:space="preserve">消防中控室  </w:t>
            </w:r>
            <w:r>
              <w:rPr>
                <w:color w:val="000000"/>
              </w:rPr>
              <w:sym w:font="Wingdings" w:char="00A8"/>
            </w:r>
            <w:r>
              <w:rPr>
                <w:rFonts w:hint="eastAsia"/>
                <w:color w:val="000000"/>
              </w:rPr>
              <w:t xml:space="preserve">消防泵房   </w:t>
            </w:r>
            <w:r>
              <w:rPr/>
              <w:sym w:font="Wingdings" w:char="00FE"/>
            </w:r>
            <w:r>
              <w:rPr>
                <w:rFonts w:hint="eastAsia"/>
                <w:color w:val="000000"/>
              </w:rPr>
              <w:t xml:space="preserve">除尘装置 </w:t>
            </w:r>
            <w:r>
              <w:rPr>
                <w:color w:val="000000"/>
              </w:rPr>
              <w:sym w:font="Wingdings" w:char="00A8"/>
            </w:r>
            <w:r>
              <w:rPr>
                <w:rFonts w:hint="eastAsia"/>
                <w:color w:val="000000"/>
              </w:rPr>
              <w:t xml:space="preserve">尾气处理  </w:t>
            </w:r>
            <w:r>
              <w:rPr/>
              <w:sym w:font="Wingdings" w:char="00FE"/>
            </w:r>
            <w:r>
              <w:rPr>
                <w:rFonts w:hint="eastAsia"/>
                <w:color w:val="000000"/>
              </w:rPr>
              <w:t xml:space="preserve">危化品库房   </w:t>
            </w:r>
            <w:r>
              <w:rPr/>
              <w:sym w:font="Wingdings" w:char="00FE"/>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rFonts w:hint="eastAsia"/>
              </w:rPr>
              <w:t>□</w:t>
            </w:r>
            <w:r>
              <w:rPr>
                <w:rFonts w:hint="eastAsia"/>
                <w:color w:val="000000"/>
              </w:rPr>
              <w:t>其他——</w:t>
            </w:r>
          </w:p>
          <w:p>
            <w:pPr>
              <w:pStyle w:val="6"/>
              <w:rPr>
                <w:highlight w:val="yellow"/>
              </w:rPr>
            </w:pPr>
          </w:p>
          <w:p>
            <w:pPr>
              <w:pStyle w:val="6"/>
              <w:rPr>
                <w:highlight w:val="yellow"/>
              </w:rPr>
            </w:pPr>
          </w:p>
          <w:p>
            <w:r>
              <w:rPr>
                <w:rFonts w:hint="eastAsia"/>
              </w:rPr>
              <w:t>特种设备：（见生产部审核）</w:t>
            </w:r>
          </w:p>
          <w:p>
            <w:pPr>
              <w:ind w:firstLine="210" w:firstLineChars="100"/>
            </w:pPr>
            <w:r>
              <w:rPr>
                <w:rFonts w:hint="eastAsia"/>
              </w:rPr>
              <w:sym w:font="Wingdings" w:char="00FE"/>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不适用</w:t>
            </w:r>
          </w:p>
          <w:p>
            <w:pPr>
              <w:ind w:firstLine="210" w:firstLineChars="100"/>
            </w:pP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pStyle w:val="6"/>
              <w:rPr>
                <w:color w:val="000000"/>
                <w:szCs w:val="21"/>
              </w:rPr>
            </w:pPr>
          </w:p>
          <w:p>
            <w:pPr>
              <w:numPr>
                <w:ilvl w:val="0"/>
                <w:numId w:val="3"/>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vMerge w:val="restart"/>
            <w:shd w:val="clear" w:color="auto" w:fill="auto"/>
          </w:tcPr>
          <w:p>
            <w:r>
              <w:rPr>
                <w:rFonts w:hint="eastAsia"/>
              </w:rPr>
              <w:t xml:space="preserve">沟通  </w:t>
            </w:r>
          </w:p>
        </w:tc>
        <w:tc>
          <w:tcPr>
            <w:tcW w:w="961" w:type="dxa"/>
            <w:vMerge w:val="restart"/>
            <w:shd w:val="clear" w:color="auto" w:fill="auto"/>
          </w:tcPr>
          <w:p>
            <w:r>
              <w:rPr>
                <w:rFonts w:hint="eastAsia"/>
              </w:rPr>
              <w:t>QEO7.4</w:t>
            </w:r>
          </w:p>
          <w:p>
            <w:pPr>
              <w:pStyle w:val="2"/>
            </w:pPr>
          </w:p>
        </w:tc>
        <w:tc>
          <w:tcPr>
            <w:tcW w:w="745" w:type="dxa"/>
            <w:shd w:val="clear" w:color="auto" w:fill="auto"/>
          </w:tcPr>
          <w:p>
            <w:r>
              <w:rPr>
                <w:rFonts w:hint="eastAsia"/>
              </w:rPr>
              <w:t>文件名称</w:t>
            </w:r>
          </w:p>
        </w:tc>
        <w:tc>
          <w:tcPr>
            <w:tcW w:w="9256" w:type="dxa"/>
            <w:shd w:val="clear" w:color="auto" w:fill="auto"/>
          </w:tcPr>
          <w:p>
            <w:r>
              <w:rPr>
                <w:rFonts w:hint="eastAsia"/>
              </w:rPr>
              <w:t>如：管理手册第7.4章、《信息交流控制程序》</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组织考虑了合规义务，确保质量/环境/职业健康信息与管理体系形成的信息一致且真实可信。一般由行政部负责。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rPr>
              <w:t>生态局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rPr>
              <w:sym w:font="Wingdings 2" w:char="0052"/>
            </w:r>
            <w:r>
              <w:rPr>
                <w:rFonts w:hint="eastAsia"/>
                <w:color w:val="000000"/>
                <w:szCs w:val="21"/>
              </w:rPr>
              <w:t xml:space="preserve">表单传递 ☑微信 ☑QQ □展板 </w:t>
            </w:r>
            <w:r>
              <w:rPr>
                <w:rFonts w:hint="eastAsia"/>
                <w:color w:val="000000"/>
                <w:szCs w:val="21"/>
              </w:rPr>
              <w:sym w:font="Wingdings 2" w:char="00A3"/>
            </w:r>
            <w:r>
              <w:rPr>
                <w:rFonts w:hint="eastAsia"/>
                <w:color w:val="000000"/>
                <w:szCs w:val="21"/>
              </w:rPr>
              <w:t>标语</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4" w:type="dxa"/>
            <w:vMerge w:val="restart"/>
            <w:shd w:val="clear" w:color="auto" w:fill="auto"/>
          </w:tcPr>
          <w:p>
            <w:r>
              <w:rPr>
                <w:rFonts w:hint="eastAsia"/>
              </w:rPr>
              <w:t>文件化信息总则</w:t>
            </w:r>
          </w:p>
        </w:tc>
        <w:tc>
          <w:tcPr>
            <w:tcW w:w="961" w:type="dxa"/>
            <w:vMerge w:val="restart"/>
            <w:shd w:val="clear" w:color="auto" w:fill="auto"/>
          </w:tcPr>
          <w:p>
            <w:r>
              <w:rPr>
                <w:rFonts w:hint="eastAsia"/>
              </w:rPr>
              <w:t>Q</w:t>
            </w:r>
            <w:r>
              <w:t>EO7.5.1</w:t>
            </w:r>
          </w:p>
        </w:tc>
        <w:tc>
          <w:tcPr>
            <w:tcW w:w="745" w:type="dxa"/>
            <w:shd w:val="clear" w:color="auto" w:fill="auto"/>
          </w:tcPr>
          <w:p>
            <w:r>
              <w:rPr>
                <w:rFonts w:hint="eastAsia"/>
              </w:rPr>
              <w:t>文件名称</w:t>
            </w:r>
          </w:p>
        </w:tc>
        <w:tc>
          <w:tcPr>
            <w:tcW w:w="9256" w:type="dxa"/>
            <w:shd w:val="clear" w:color="auto" w:fill="auto"/>
          </w:tcPr>
          <w:p>
            <w:r>
              <w:rPr>
                <w:rFonts w:hint="eastAsia"/>
              </w:rPr>
              <w:t>如：管理手册第7.</w:t>
            </w:r>
            <w:r>
              <w:t>5</w:t>
            </w:r>
            <w:r>
              <w:rPr>
                <w:rFonts w:hint="eastAsia"/>
              </w:rPr>
              <w:t>章、</w:t>
            </w:r>
            <w:r>
              <w:rPr>
                <w:rFonts w:ascii="Segoe UI Emoji" w:hAnsi="Segoe UI Emoji" w:cs="Segoe UI Emoji"/>
                <w:color w:val="000000"/>
                <w:szCs w:val="21"/>
              </w:rPr>
              <w:t>☑</w:t>
            </w:r>
            <w:r>
              <w:rPr>
                <w:rFonts w:hint="eastAsia"/>
              </w:rPr>
              <w:t>《形成文件的信息控制程序》等体系文件</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策划形成了：</w:t>
            </w:r>
          </w:p>
          <w:p>
            <w:pPr>
              <w:pStyle w:val="2"/>
            </w:pPr>
            <w:r>
              <w:rPr>
                <w:rFonts w:hint="eastAsia"/>
              </w:rPr>
              <w:t>-《质量环境安全管理手册》（文件编号A</w:t>
            </w:r>
            <w:r>
              <w:t>B/QEO</w:t>
            </w:r>
            <w:r>
              <w:rPr>
                <w:rFonts w:hint="eastAsia"/>
              </w:rPr>
              <w:t>，A</w:t>
            </w:r>
            <w:r>
              <w:t>/0</w:t>
            </w:r>
            <w:r>
              <w:rPr>
                <w:rFonts w:hint="eastAsia"/>
              </w:rPr>
              <w:t>版本），覆盖了</w:t>
            </w:r>
            <w:r>
              <w:rPr>
                <w:rFonts w:hint="eastAsia"/>
                <w:color w:val="000000"/>
                <w:szCs w:val="21"/>
              </w:rPr>
              <w:sym w:font="Wingdings 2" w:char="F0A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F0A2"/>
            </w:r>
            <w:r>
              <w:rPr>
                <w:color w:val="000000"/>
                <w:spacing w:val="-2"/>
                <w:szCs w:val="21"/>
              </w:rPr>
              <w:t xml:space="preserve">EMS </w:t>
            </w:r>
            <w:r>
              <w:rPr>
                <w:rFonts w:hint="eastAsia"/>
                <w:color w:val="000000"/>
                <w:szCs w:val="21"/>
              </w:rPr>
              <w:sym w:font="Wingdings 2" w:char="F0A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-文件化的程序；2</w:t>
            </w:r>
            <w:r>
              <w:rPr>
                <w:color w:val="000000"/>
                <w:szCs w:val="18"/>
              </w:rPr>
              <w:t>1</w:t>
            </w:r>
            <w:r>
              <w:rPr>
                <w:rFonts w:hint="eastAsia"/>
                <w:color w:val="000000"/>
                <w:szCs w:val="18"/>
              </w:rPr>
              <w:t>份；详见《受控文件清单》</w:t>
            </w:r>
          </w:p>
          <w:p>
            <w:pPr>
              <w:rPr>
                <w:color w:val="000000"/>
                <w:szCs w:val="18"/>
              </w:rPr>
            </w:pPr>
            <w:r>
              <w:rPr>
                <w:rFonts w:hint="eastAsia"/>
                <w:color w:val="000000"/>
                <w:szCs w:val="18"/>
              </w:rPr>
              <w:t>-作业文件；</w:t>
            </w:r>
            <w:r>
              <w:rPr>
                <w:color w:val="000000"/>
                <w:szCs w:val="18"/>
              </w:rPr>
              <w:t>4</w:t>
            </w:r>
            <w:r>
              <w:rPr>
                <w:rFonts w:hint="eastAsia"/>
                <w:color w:val="000000"/>
                <w:szCs w:val="18"/>
              </w:rPr>
              <w:t>份；详见《受控文件清单》</w:t>
            </w:r>
          </w:p>
          <w:p>
            <w:pPr>
              <w:pStyle w:val="2"/>
              <w:rPr>
                <w:color w:val="000000"/>
                <w:szCs w:val="18"/>
              </w:rPr>
            </w:pPr>
            <w:r>
              <w:rPr>
                <w:rFonts w:hint="eastAsia"/>
                <w:color w:val="000000"/>
                <w:szCs w:val="18"/>
              </w:rPr>
              <w:t>-记录表格；6</w:t>
            </w:r>
            <w:r>
              <w:rPr>
                <w:color w:val="000000"/>
                <w:szCs w:val="18"/>
              </w:rPr>
              <w:t>9</w:t>
            </w:r>
            <w:r>
              <w:rPr>
                <w:rFonts w:hint="eastAsia"/>
                <w:color w:val="000000"/>
                <w:szCs w:val="18"/>
              </w:rPr>
              <w:t>份；详见《记录清单》</w:t>
            </w:r>
          </w:p>
          <w:p>
            <w:pPr>
              <w:pStyle w:val="2"/>
            </w:pPr>
            <w:r>
              <w:rPr>
                <w:rFonts w:hint="eastAsia"/>
                <w:color w:val="000000"/>
                <w:szCs w:val="18"/>
              </w:rPr>
              <w:t>所策划文件基本符合Q</w:t>
            </w:r>
            <w:r>
              <w:rPr>
                <w:color w:val="000000"/>
                <w:szCs w:val="18"/>
              </w:rPr>
              <w:t>EO</w:t>
            </w:r>
            <w:r>
              <w:rPr>
                <w:rFonts w:hint="eastAsia"/>
                <w:color w:val="000000"/>
                <w:szCs w:val="18"/>
              </w:rPr>
              <w:t>标准要求，基本满足三体系运行需求。</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监视、测量、分析和评价</w:t>
            </w:r>
          </w:p>
          <w:p/>
        </w:tc>
        <w:tc>
          <w:tcPr>
            <w:tcW w:w="961" w:type="dxa"/>
            <w:vMerge w:val="restart"/>
            <w:shd w:val="clear" w:color="auto" w:fill="auto"/>
          </w:tcPr>
          <w:p>
            <w:r>
              <w:rPr>
                <w:rFonts w:hint="eastAsia"/>
              </w:rPr>
              <w:t xml:space="preserve">Q9.1.1 </w:t>
            </w:r>
          </w:p>
          <w:p/>
        </w:tc>
        <w:tc>
          <w:tcPr>
            <w:tcW w:w="745" w:type="dxa"/>
            <w:shd w:val="clear" w:color="auto" w:fill="auto"/>
          </w:tcPr>
          <w:p>
            <w:r>
              <w:rPr>
                <w:rFonts w:hint="eastAsia"/>
              </w:rPr>
              <w:t>文件名称</w:t>
            </w:r>
          </w:p>
        </w:tc>
        <w:tc>
          <w:tcPr>
            <w:tcW w:w="9256" w:type="dxa"/>
            <w:shd w:val="clear" w:color="auto" w:fill="auto"/>
          </w:tcPr>
          <w:p>
            <w:pPr>
              <w:rPr>
                <w:b/>
                <w:bCs/>
              </w:rPr>
            </w:pPr>
            <w:r>
              <w:rPr>
                <w:rFonts w:hint="eastAsia"/>
              </w:rPr>
              <w:t>如：</w:t>
            </w:r>
            <w:r>
              <w:rPr>
                <w:rFonts w:hint="eastAsia"/>
              </w:rPr>
              <w:sym w:font="Wingdings" w:char="00FE"/>
            </w:r>
            <w:r>
              <w:rPr>
                <w:rFonts w:hint="eastAsia"/>
              </w:rPr>
              <w:t>管理手册9.1.1条款</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组织对监视和测量的质量绩效：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产品检测</w:t>
                  </w:r>
                </w:p>
              </w:tc>
              <w:tc>
                <w:tcPr>
                  <w:tcW w:w="2456" w:type="dxa"/>
                </w:tcPr>
                <w:p>
                  <w:pPr>
                    <w:numPr>
                      <w:ilvl w:val="0"/>
                      <w:numId w:val="4"/>
                    </w:numPr>
                    <w:rPr>
                      <w:szCs w:val="21"/>
                    </w:rPr>
                  </w:pPr>
                  <w:r>
                    <w:rPr>
                      <w:rFonts w:hint="eastAsia"/>
                      <w:szCs w:val="21"/>
                    </w:rPr>
                    <w:t>见质检部审核记录</w:t>
                  </w:r>
                </w:p>
              </w:tc>
              <w:tc>
                <w:tcPr>
                  <w:tcW w:w="1372"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Cs w:val="21"/>
                    </w:rPr>
                    <w:sym w:font="Wingdings 2" w:char="00A3"/>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2304" w:type="dxa"/>
                </w:tcPr>
                <w:p>
                  <w:pPr>
                    <w:rPr>
                      <w:szCs w:val="21"/>
                    </w:rPr>
                  </w:pPr>
                  <w:r>
                    <w:rPr>
                      <w:rFonts w:hint="eastAsia"/>
                      <w:szCs w:val="21"/>
                    </w:rPr>
                    <w:t>相关国家标准、行业的抽查情况</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hint="eastAsia"/>
                      <w:color w:val="000000"/>
                      <w:szCs w:val="21"/>
                    </w:rPr>
                    <w:sym w:font="Wingdings 2" w:char="00A3"/>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szCs w:val="21"/>
                    </w:rPr>
                  </w:pPr>
                  <w:r>
                    <w:rPr>
                      <w:rFonts w:hint="eastAsia"/>
                      <w:szCs w:val="21"/>
                    </w:rPr>
                    <w:t>作业指导书、检验标准等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szCs w:val="21"/>
                    </w:rPr>
                  </w:pPr>
                  <w:r>
                    <w:rPr>
                      <w:rFonts w:hint="eastAsia"/>
                      <w:szCs w:val="21"/>
                    </w:rPr>
                    <w:t>GB/T19001-2016</w:t>
                  </w:r>
                </w:p>
                <w:p>
                  <w:pPr>
                    <w:pStyle w:val="2"/>
                  </w:pP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szCs w:val="21"/>
                    </w:rPr>
                  </w:pPr>
                  <w:r>
                    <w:rPr>
                      <w:rFonts w:hint="eastAsia"/>
                      <w:szCs w:val="21"/>
                    </w:rPr>
                    <w:t>GB/T19001-2016</w:t>
                  </w:r>
                </w:p>
                <w:p>
                  <w:pPr>
                    <w:rPr>
                      <w:szCs w:val="21"/>
                    </w:rPr>
                  </w:pPr>
                  <w:r>
                    <w:rPr>
                      <w:rFonts w:hint="eastAsia"/>
                      <w:szCs w:val="21"/>
                    </w:rPr>
                    <w:t>《管理评审控制程序》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4" w:type="dxa"/>
            <w:vMerge w:val="restart"/>
            <w:shd w:val="clear" w:color="auto" w:fill="auto"/>
          </w:tcPr>
          <w:p>
            <w:r>
              <w:rPr>
                <w:rFonts w:hint="eastAsia"/>
              </w:rPr>
              <w:t>内部审核</w:t>
            </w:r>
          </w:p>
        </w:tc>
        <w:tc>
          <w:tcPr>
            <w:tcW w:w="961" w:type="dxa"/>
            <w:vMerge w:val="restart"/>
            <w:shd w:val="clear" w:color="auto" w:fill="auto"/>
          </w:tcPr>
          <w:p>
            <w:r>
              <w:rPr>
                <w:rFonts w:hint="eastAsia"/>
              </w:rPr>
              <w:t>QEO9.2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《内部审核控制程序》</w:t>
            </w:r>
            <w:r>
              <w:rPr>
                <w:rFonts w:hint="eastAsia"/>
              </w:rPr>
              <w:sym w:font="Wingdings" w:char="00FE"/>
            </w:r>
            <w:r>
              <w:rPr>
                <w:rFonts w:hint="eastAsia"/>
              </w:rPr>
              <w:t>手册第9.2条款</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1</w:t>
            </w:r>
            <w:r>
              <w:rPr>
                <w:color w:val="000000"/>
                <w:szCs w:val="18"/>
                <w:u w:val="single"/>
              </w:rPr>
              <w:t xml:space="preserve">1 </w:t>
            </w:r>
            <w:r>
              <w:rPr>
                <w:rFonts w:hint="eastAsia"/>
                <w:color w:val="000000"/>
                <w:szCs w:val="18"/>
              </w:rPr>
              <w:t>月</w:t>
            </w:r>
            <w:r>
              <w:rPr>
                <w:rFonts w:hint="eastAsia"/>
                <w:color w:val="000000"/>
                <w:szCs w:val="18"/>
                <w:u w:val="single"/>
              </w:rPr>
              <w:t xml:space="preserve"> 11-12</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Emoji" w:hAnsi="Segoe UI Emoji" w:cs="Segoe UI Emoji"/>
                <w:color w:val="000000"/>
                <w:szCs w:val="21"/>
              </w:rPr>
              <w:t>☑</w:t>
            </w:r>
            <w:r>
              <w:rPr>
                <w:rFonts w:hint="eastAsia" w:ascii="宋体" w:hAnsi="宋体" w:cs="宋体"/>
                <w:color w:val="000000"/>
                <w:szCs w:val="21"/>
              </w:rPr>
              <w:t>内审员培训记录</w:t>
            </w:r>
            <w:r>
              <w:rPr>
                <w:rFonts w:hint="eastAsia"/>
                <w:color w:val="000000"/>
                <w:szCs w:val="21"/>
              </w:rPr>
              <w:t>（见行政部审核记录）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ascii="Segoe UI Emoji" w:hAnsi="Segoe UI Emoji" w:cs="Segoe UI Emoji"/>
                <w:color w:val="000000"/>
                <w:szCs w:val="21"/>
              </w:rPr>
              <w:t>□</w:t>
            </w:r>
            <w:r>
              <w:rPr>
                <w:rFonts w:hint="eastAsia"/>
                <w:color w:val="000000"/>
                <w:szCs w:val="21"/>
              </w:rPr>
              <w:t>未覆盖了全部部门，缺少</w:t>
            </w:r>
            <w:r>
              <w:rPr>
                <w:rFonts w:hint="eastAsia"/>
                <w:color w:val="000000"/>
                <w:szCs w:val="21"/>
                <w:u w:val="single"/>
              </w:rPr>
              <w:t xml:space="preserve">              </w:t>
            </w:r>
            <w:r>
              <w:rPr>
                <w:rFonts w:hint="eastAsia"/>
                <w:color w:val="FF0000"/>
                <w:szCs w:val="21"/>
                <w:u w:val="single"/>
              </w:rPr>
              <w:t xml:space="preserve"> </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ascii="Segoe UI Emoji" w:hAnsi="Segoe UI Emoji" w:cs="Segoe UI Emoji"/>
                <w:color w:val="000000"/>
                <w:szCs w:val="21"/>
              </w:rPr>
              <w:t>☑</w:t>
            </w:r>
            <w:r>
              <w:rPr>
                <w:rFonts w:hint="eastAsia" w:ascii="宋体" w:hAnsi="宋体" w:cs="宋体"/>
                <w:color w:val="000000"/>
                <w:szCs w:val="21"/>
              </w:rPr>
              <w:t>覆盖了</w:t>
            </w:r>
            <w:r>
              <w:rPr>
                <w:rFonts w:hint="eastAsia"/>
                <w:color w:val="000000"/>
                <w:szCs w:val="21"/>
              </w:rPr>
              <w:t>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ascii="Segoe UI Emoji" w:hAnsi="Segoe UI Emoji" w:cs="Segoe UI Emoji"/>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管理层、行政部、生产部等        </w:t>
            </w:r>
          </w:p>
          <w:p>
            <w:pPr>
              <w:widowControl/>
              <w:spacing w:before="40"/>
              <w:ind w:firstLine="420" w:firstLineChars="200"/>
              <w:jc w:val="left"/>
              <w:rPr>
                <w:color w:val="000000"/>
                <w:szCs w:val="18"/>
              </w:rPr>
            </w:pPr>
            <w:r>
              <w:rPr>
                <w:rFonts w:ascii="Segoe UI Emoji" w:hAnsi="Segoe UI Emoji" w:cs="Segoe UI Emoji"/>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ascii="Segoe UI Emoji" w:hAnsi="Segoe UI Emoji" w:cs="Segoe UI Emoji"/>
                <w:color w:val="000000"/>
                <w:szCs w:val="21"/>
              </w:rPr>
              <w:t>☑</w:t>
            </w:r>
            <w:r>
              <w:rPr>
                <w:rFonts w:hint="eastAsia" w:ascii="宋体" w:hAnsi="宋体" w:cs="宋体"/>
                <w:color w:val="000000"/>
                <w:szCs w:val="21"/>
              </w:rPr>
              <w:t>覆盖了全</w:t>
            </w:r>
            <w:r>
              <w:rPr>
                <w:rFonts w:hint="eastAsia"/>
                <w:color w:val="000000"/>
                <w:szCs w:val="21"/>
              </w:rPr>
              <w:t>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rPr>
                <w:szCs w:val="22"/>
              </w:rPr>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rPr>
                <w:szCs w:val="22"/>
              </w:rPr>
            </w:pP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4" w:type="dxa"/>
            <w:vMerge w:val="restart"/>
            <w:shd w:val="clear" w:color="auto" w:fill="auto"/>
          </w:tcPr>
          <w:p>
            <w:r>
              <w:rPr>
                <w:rFonts w:hint="eastAsia"/>
              </w:rPr>
              <w:t>管理评审</w:t>
            </w:r>
          </w:p>
          <w:p/>
        </w:tc>
        <w:tc>
          <w:tcPr>
            <w:tcW w:w="961" w:type="dxa"/>
            <w:vMerge w:val="restart"/>
            <w:shd w:val="clear" w:color="auto" w:fill="auto"/>
          </w:tcPr>
          <w:p>
            <w:r>
              <w:rPr>
                <w:rFonts w:hint="eastAsia"/>
              </w:rPr>
              <w:t>Q9.3</w:t>
            </w:r>
          </w:p>
          <w:p>
            <w:pPr>
              <w:pStyle w:val="2"/>
            </w:pPr>
            <w:r>
              <w:rPr>
                <w:rFonts w:hint="eastAsia"/>
              </w:rPr>
              <w:t>E9.3</w:t>
            </w:r>
          </w:p>
          <w:p>
            <w:pPr>
              <w:pStyle w:val="2"/>
            </w:pPr>
            <w:r>
              <w:rPr>
                <w:rFonts w:hint="eastAsia"/>
              </w:rPr>
              <w:t>O9.3</w:t>
            </w:r>
          </w:p>
          <w:p/>
        </w:tc>
        <w:tc>
          <w:tcPr>
            <w:tcW w:w="745" w:type="dxa"/>
            <w:shd w:val="clear" w:color="auto" w:fill="auto"/>
          </w:tcPr>
          <w:p>
            <w:r>
              <w:rPr>
                <w:rFonts w:hint="eastAsia"/>
              </w:rPr>
              <w:t>文件名称</w:t>
            </w:r>
          </w:p>
        </w:tc>
        <w:tc>
          <w:tcPr>
            <w:tcW w:w="9256" w:type="dxa"/>
            <w:shd w:val="clear" w:color="auto" w:fill="auto"/>
          </w:tcPr>
          <w:p>
            <w:r>
              <w:rPr>
                <w:rFonts w:hint="eastAsia" w:ascii="宋体" w:hAnsi="宋体"/>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588" w:type="dxa"/>
            <w:vMerge w:val="restart"/>
            <w:shd w:val="clear" w:color="auto" w:fill="auto"/>
          </w:tcPr>
          <w:p>
            <w:r>
              <w:rPr/>
              <w:sym w:font="Wingdings" w:char="00FE"/>
            </w:r>
            <w:r>
              <w:rPr>
                <w:rFonts w:hint="eastAsia"/>
              </w:rPr>
              <w:t>符合</w:t>
            </w:r>
          </w:p>
          <w:p>
            <w:pPr>
              <w:rPr>
                <w:highlight w:val="yellow"/>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pPr>
              <w:widowControl/>
              <w:spacing w:before="40"/>
              <w:jc w:val="left"/>
              <w:rPr>
                <w:color w:val="000000"/>
                <w:szCs w:val="18"/>
              </w:rPr>
            </w:pPr>
          </w:p>
          <w:p>
            <w:r>
              <w:rPr>
                <w:rFonts w:hint="eastAsia"/>
              </w:rPr>
              <w:t>运行证据</w:t>
            </w:r>
          </w:p>
        </w:tc>
        <w:tc>
          <w:tcPr>
            <w:tcW w:w="9256" w:type="dxa"/>
            <w:shd w:val="clear" w:color="auto" w:fill="auto"/>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8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p>
            <w:pPr>
              <w:pStyle w:val="2"/>
            </w:pPr>
          </w:p>
          <w:tbl>
            <w:tblPr>
              <w:tblStyle w:val="11"/>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color w:val="000000"/>
                      <w:szCs w:val="21"/>
                    </w:rPr>
                    <w:t>管理评审输入信息</w:t>
                  </w:r>
                </w:p>
              </w:tc>
              <w:tc>
                <w:tcPr>
                  <w:tcW w:w="1936" w:type="dxa"/>
                </w:tcPr>
                <w:p>
                  <w:pPr>
                    <w:widowControl/>
                    <w:spacing w:before="40"/>
                    <w:jc w:val="left"/>
                    <w:rPr>
                      <w:color w:val="000000"/>
                      <w:szCs w:val="21"/>
                    </w:rPr>
                  </w:pPr>
                  <w:r>
                    <w:rPr>
                      <w:rFonts w:hint="eastAsia"/>
                      <w:color w:val="000000"/>
                      <w:szCs w:val="21"/>
                    </w:rPr>
                    <w:t>评价</w:t>
                  </w:r>
                </w:p>
              </w:tc>
              <w:tc>
                <w:tcPr>
                  <w:tcW w:w="3370"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color w:val="000000"/>
                      <w:szCs w:val="21"/>
                    </w:rPr>
                    <w:t>□</w:t>
                  </w:r>
                  <w:r>
                    <w:rPr>
                      <w:rFonts w:hint="eastAsia"/>
                    </w:rPr>
                    <w:t>以往管理评审所采取措施的情况；</w:t>
                  </w:r>
                </w:p>
              </w:tc>
              <w:tc>
                <w:tcPr>
                  <w:tcW w:w="1936" w:type="dxa"/>
                </w:tcPr>
                <w:p>
                  <w:pPr>
                    <w:widowControl/>
                    <w:spacing w:before="40"/>
                    <w:jc w:val="left"/>
                    <w:rPr>
                      <w:color w:val="000000"/>
                      <w:szCs w:val="21"/>
                    </w:rPr>
                  </w:pP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初次不涉及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tcPr>
                <w:p>
                  <w:pPr>
                    <w:widowControl/>
                    <w:spacing w:before="40"/>
                    <w:jc w:val="left"/>
                    <w:rPr>
                      <w:color w:val="000000"/>
                      <w:szCs w:val="21"/>
                    </w:rPr>
                  </w:pPr>
                  <w:r>
                    <w:rPr>
                      <w:rFonts w:hint="eastAsia"/>
                      <w:color w:val="000000"/>
                      <w:szCs w:val="21"/>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color w:val="000000"/>
                      <w:szCs w:val="21"/>
                    </w:rPr>
                    <w:t>管理评审输入信息</w:t>
                  </w:r>
                </w:p>
              </w:tc>
              <w:tc>
                <w:tcPr>
                  <w:tcW w:w="1936" w:type="dxa"/>
                </w:tcPr>
                <w:p>
                  <w:pPr>
                    <w:widowControl/>
                    <w:spacing w:before="40"/>
                    <w:jc w:val="left"/>
                    <w:rPr>
                      <w:color w:val="000000"/>
                      <w:szCs w:val="21"/>
                    </w:rPr>
                  </w:pPr>
                  <w:r>
                    <w:rPr>
                      <w:rFonts w:hint="eastAsia"/>
                      <w:color w:val="000000"/>
                      <w:szCs w:val="21"/>
                    </w:rPr>
                    <w:t>评价</w:t>
                  </w:r>
                </w:p>
              </w:tc>
              <w:tc>
                <w:tcPr>
                  <w:tcW w:w="3370"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ascii="Segoe UI Emoji" w:hAnsi="Segoe UI Emoji" w:cs="Segoe UI Emoji"/>
                      <w:color w:val="000000"/>
                      <w:szCs w:val="21"/>
                    </w:rPr>
                    <w:t>☑</w:t>
                  </w:r>
                  <w:r>
                    <w:rPr>
                      <w:color w:val="000000"/>
                      <w:szCs w:val="21"/>
                    </w:rPr>
                    <w:t>为应对风险和机遇所采取措施的有效性</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ascii="宋体" w:hAnsi="宋体" w:cs="宋体"/>
                      <w:color w:val="000000"/>
                      <w:szCs w:val="21"/>
                    </w:rPr>
                    <w:t>符合</w:t>
                  </w:r>
                  <w:r>
                    <w:rPr>
                      <w:rFonts w:hint="eastAsia"/>
                      <w:color w:val="000000"/>
                      <w:szCs w:val="21"/>
                    </w:rPr>
                    <w:t xml:space="preserve">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与环境管理体系相关的内外部问题的变化；</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相关方的需求和期望（包括合规义务）的变化</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重要环境因素的变化</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风险和机遇的变化</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环境目标的实现程度</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不符合及纠正措施及趋势</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2021年度年无处罚、内审不符合项已整改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监视和测量结果及趋势</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合规义务的履行情况的趋势</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内审、外部审核结果及趋势</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资源的充分性；</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color w:val="000000"/>
                      <w:szCs w:val="21"/>
                    </w:rPr>
                    <w:t>来自相关方的有关信息交流，包括抱怨</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改进的机会</w:t>
                  </w:r>
                </w:p>
              </w:tc>
              <w:tc>
                <w:tcPr>
                  <w:tcW w:w="1936" w:type="dxa"/>
                </w:tcPr>
                <w:p>
                  <w:pPr>
                    <w:widowControl/>
                    <w:spacing w:before="40"/>
                    <w:jc w:val="left"/>
                    <w:rPr>
                      <w:color w:val="000000"/>
                      <w:szCs w:val="21"/>
                    </w:rPr>
                  </w:pPr>
                  <w:r>
                    <w:rPr>
                      <w:rFonts w:ascii="Segoe UI Emoji" w:hAnsi="Segoe UI Emoji" w:cs="Segoe UI Emoji"/>
                      <w:color w:val="000000"/>
                      <w:szCs w:val="21"/>
                    </w:rPr>
                    <w:t>☑</w:t>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tcPr>
                <w:p>
                  <w:pPr>
                    <w:widowControl/>
                    <w:spacing w:before="40"/>
                    <w:jc w:val="left"/>
                    <w:rPr>
                      <w:color w:val="000000"/>
                      <w:szCs w:val="21"/>
                    </w:rPr>
                  </w:pPr>
                  <w:r>
                    <w:rPr>
                      <w:rFonts w:hint="eastAsia"/>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color w:val="000000"/>
                      <w:szCs w:val="21"/>
                    </w:rPr>
                    <w:t>管理评审输入信息</w:t>
                  </w:r>
                </w:p>
              </w:tc>
              <w:tc>
                <w:tcPr>
                  <w:tcW w:w="1936" w:type="dxa"/>
                </w:tcPr>
                <w:p>
                  <w:pPr>
                    <w:widowControl/>
                    <w:spacing w:before="40"/>
                    <w:jc w:val="left"/>
                    <w:rPr>
                      <w:color w:val="000000"/>
                      <w:szCs w:val="21"/>
                    </w:rPr>
                  </w:pPr>
                  <w:r>
                    <w:rPr>
                      <w:rFonts w:hint="eastAsia"/>
                      <w:color w:val="000000"/>
                      <w:szCs w:val="21"/>
                    </w:rPr>
                    <w:t>评价</w:t>
                  </w:r>
                </w:p>
              </w:tc>
              <w:tc>
                <w:tcPr>
                  <w:tcW w:w="3370"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与职业健康安全管理体系相关的内外部议题的变化；</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r>
                    <w:rPr>
                      <w:rFonts w:hint="eastAsia"/>
                      <w:szCs w:val="21"/>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相关方的需求和期望的变化</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法律法规和其他要求的变化</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r>
                    <w:rPr>
                      <w:rFonts w:hint="eastAsia"/>
                      <w:szCs w:val="21"/>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风险和机遇的变化</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ind w:firstLine="252"/>
                    <w:jc w:val="left"/>
                    <w:rPr>
                      <w:szCs w:val="21"/>
                    </w:rPr>
                  </w:pPr>
                  <w:r>
                    <w:rPr>
                      <w:rFonts w:hint="eastAsia"/>
                      <w:szCs w:val="21"/>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职业健康安全目标的实现程度</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事件、不符合、纠正措施和持续改进及趋势</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监视和测量结果及趋势</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对法律法规要求和其他要求的合规性评价的结果的趋势</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内审、外部审核结果及趋势</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工作人员的协商和参与及趋势</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风险和机遇即趋势</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保持有效的职业健康安全管理体系所需资源</w:t>
                  </w:r>
                  <w:r>
                    <w:t>的</w:t>
                  </w:r>
                  <w:r>
                    <w:rPr>
                      <w:rFonts w:hint="eastAsia"/>
                    </w:rPr>
                    <w:t>充分性；</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szCs w:val="21"/>
                    </w:rPr>
                  </w:pPr>
                  <w:r>
                    <w:rPr>
                      <w:rFonts w:hint="eastAsia"/>
                    </w:rPr>
                    <w:t>与相关方的有关沟通</w:t>
                  </w:r>
                </w:p>
              </w:tc>
              <w:tc>
                <w:tcPr>
                  <w:tcW w:w="1936" w:type="dxa"/>
                </w:tcPr>
                <w:p>
                  <w:pPr>
                    <w:widowControl/>
                    <w:spacing w:before="40"/>
                    <w:jc w:val="left"/>
                    <w:rPr>
                      <w:szCs w:val="21"/>
                    </w:rPr>
                  </w:pPr>
                  <w:r>
                    <w:rPr>
                      <w:rFonts w:ascii="Segoe UI Emoji" w:hAnsi="Segoe UI Emoji" w:cs="Segoe UI Emoji"/>
                      <w:szCs w:val="21"/>
                    </w:rPr>
                    <w:t>☑</w:t>
                  </w:r>
                  <w:r>
                    <w:rPr>
                      <w:rFonts w:hint="eastAsia"/>
                      <w:szCs w:val="21"/>
                    </w:rPr>
                    <w:t>符合 □不符合</w:t>
                  </w:r>
                </w:p>
              </w:tc>
              <w:tc>
                <w:tcPr>
                  <w:tcW w:w="3370" w:type="dxa"/>
                </w:tcPr>
                <w:p>
                  <w:pPr>
                    <w:widowControl/>
                    <w:spacing w:before="40"/>
                    <w:jc w:val="left"/>
                    <w:rPr>
                      <w:szCs w:val="21"/>
                    </w:rPr>
                  </w:pPr>
                  <w:r>
                    <w:rPr>
                      <w:rFonts w:hint="eastAsia"/>
                      <w:szCs w:val="21"/>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持续改进的机会</w:t>
                  </w:r>
                </w:p>
              </w:tc>
              <w:tc>
                <w:tcPr>
                  <w:tcW w:w="1936" w:type="dxa"/>
                </w:tcPr>
                <w:p>
                  <w:pPr>
                    <w:widowControl/>
                    <w:spacing w:before="40"/>
                    <w:jc w:val="left"/>
                    <w:rPr>
                      <w:szCs w:val="21"/>
                    </w:rPr>
                  </w:pPr>
                  <w:r>
                    <w:rPr>
                      <w:rFonts w:hint="eastAsia"/>
                      <w:szCs w:val="21"/>
                    </w:rPr>
                    <w:t>□符合 □不符合</w:t>
                  </w:r>
                </w:p>
              </w:tc>
              <w:tc>
                <w:tcPr>
                  <w:tcW w:w="3370" w:type="dxa"/>
                </w:tcPr>
                <w:p>
                  <w:pPr>
                    <w:widowControl/>
                    <w:spacing w:before="4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tcPr>
                <w:p>
                  <w:pPr>
                    <w:widowControl/>
                    <w:spacing w:before="40"/>
                    <w:jc w:val="left"/>
                    <w:rPr>
                      <w:color w:val="000000"/>
                      <w:szCs w:val="21"/>
                    </w:rPr>
                  </w:pPr>
                  <w:r>
                    <w:rPr>
                      <w:rFonts w:hint="eastAsi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color w:val="000000"/>
                      <w:szCs w:val="21"/>
                    </w:rPr>
                    <w:t>管理评审输入信息</w:t>
                  </w:r>
                </w:p>
              </w:tc>
              <w:tc>
                <w:tcPr>
                  <w:tcW w:w="1936" w:type="dxa"/>
                </w:tcPr>
                <w:p>
                  <w:pPr>
                    <w:widowControl/>
                    <w:spacing w:before="40"/>
                    <w:jc w:val="left"/>
                    <w:rPr>
                      <w:color w:val="000000"/>
                      <w:szCs w:val="21"/>
                    </w:rPr>
                  </w:pPr>
                  <w:r>
                    <w:rPr>
                      <w:rFonts w:hint="eastAsia"/>
                      <w:color w:val="000000"/>
                      <w:szCs w:val="21"/>
                    </w:rPr>
                    <w:t>评价</w:t>
                  </w:r>
                </w:p>
              </w:tc>
              <w:tc>
                <w:tcPr>
                  <w:tcW w:w="3370"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与质量管理体系相关的内外部因素的变化；</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3370"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顾客满意和有关相关方的反馈及趋势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质量目标的实现程度及趋势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3370" w:type="dxa"/>
                </w:tcPr>
                <w:p>
                  <w:pPr>
                    <w:widowControl/>
                    <w:spacing w:before="40"/>
                    <w:jc w:val="left"/>
                    <w:rPr>
                      <w:color w:val="000000"/>
                      <w:szCs w:val="21"/>
                    </w:rPr>
                  </w:pPr>
                  <w:r>
                    <w:rPr>
                      <w:rFonts w:hint="eastAsia"/>
                      <w:color w:val="000000"/>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过程绩效以及产品和服务的合格情况及趋势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r>
                    <w:rPr>
                      <w:rFonts w:hint="eastAsia"/>
                      <w:color w:val="000000"/>
                      <w:szCs w:val="21"/>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不合格及纠正措施及趋势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监视和测量结果及趋势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内审、外部审核结果及趋势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3370" w:type="dxa"/>
                </w:tcPr>
                <w:p>
                  <w:pPr>
                    <w:widowControl/>
                    <w:spacing w:before="40"/>
                    <w:jc w:val="left"/>
                    <w:rPr>
                      <w:color w:val="000000"/>
                      <w:szCs w:val="21"/>
                    </w:rPr>
                  </w:pPr>
                  <w:r>
                    <w:rPr>
                      <w:rFonts w:hint="eastAsia"/>
                      <w:color w:val="000000"/>
                      <w:szCs w:val="21"/>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外部供方的绩效及趋势</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资源的充分性；</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rPr>
                  </w:pPr>
                  <w:r>
                    <w:rPr>
                      <w:rFonts w:hint="eastAsia"/>
                    </w:rPr>
                    <w:t>应对风险和机遇所采取措施的有效性</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3370"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pPr>
                  <w:r>
                    <w:rPr>
                      <w:rFonts w:hint="eastAsia"/>
                    </w:rPr>
                    <w:t>改进的机会</w:t>
                  </w:r>
                </w:p>
              </w:tc>
              <w:tc>
                <w:tcPr>
                  <w:tcW w:w="1936" w:type="dxa"/>
                </w:tcPr>
                <w:p>
                  <w:pPr>
                    <w:widowControl/>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3370" w:type="dxa"/>
                </w:tcPr>
                <w:p>
                  <w:pPr>
                    <w:widowControl/>
                    <w:spacing w:before="40"/>
                    <w:jc w:val="left"/>
                    <w:rPr>
                      <w:color w:val="000000"/>
                      <w:szCs w:val="21"/>
                    </w:rPr>
                  </w:pPr>
                </w:p>
              </w:tc>
            </w:tr>
          </w:tbl>
          <w:p>
            <w:pPr>
              <w:widowControl/>
              <w:spacing w:before="40"/>
              <w:jc w:val="left"/>
              <w:rPr>
                <w:color w:val="000000"/>
                <w:szCs w:val="18"/>
              </w:rPr>
            </w:pPr>
            <w:r>
              <w:rPr>
                <w:rFonts w:hint="eastAsia"/>
                <w:color w:val="000000"/>
                <w:szCs w:val="18"/>
              </w:rPr>
              <w:t>查看</w:t>
            </w:r>
            <w:r>
              <w:rPr>
                <w:rFonts w:ascii="Segoe UI Emoji" w:hAnsi="Segoe UI Emoji" w:cs="Segoe UI Emoji"/>
                <w:color w:val="000000"/>
                <w:szCs w:val="21"/>
              </w:rPr>
              <w:t>☑</w:t>
            </w:r>
            <w:r>
              <w:rPr>
                <w:rFonts w:hint="eastAsia" w:ascii="宋体" w:hAnsi="宋体" w:cs="宋体"/>
                <w:color w:val="000000"/>
                <w:szCs w:val="21"/>
              </w:rPr>
              <w:t>管理评审计划</w:t>
            </w:r>
            <w:r>
              <w:rPr>
                <w:rFonts w:hint="eastAsia"/>
                <w:color w:val="000000"/>
                <w:szCs w:val="21"/>
              </w:rPr>
              <w:t xml:space="preserve">  </w:t>
            </w:r>
            <w:r>
              <w:rPr>
                <w:rFonts w:ascii="Segoe UI Emoji" w:hAnsi="Segoe UI Emoji" w:cs="Segoe UI Emoji"/>
                <w:color w:val="000000"/>
                <w:szCs w:val="21"/>
              </w:rPr>
              <w:t>☑</w:t>
            </w:r>
            <w:r>
              <w:rPr>
                <w:rFonts w:hint="eastAsia" w:ascii="宋体" w:hAnsi="宋体" w:cs="宋体"/>
                <w:color w:val="000000"/>
                <w:szCs w:val="21"/>
              </w:rPr>
              <w:t>管理评审记录（工作总结）</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p>
            <w:pPr>
              <w:widowControl/>
              <w:spacing w:before="40"/>
              <w:jc w:val="left"/>
              <w:rPr>
                <w:color w:val="000000"/>
                <w:szCs w:val="21"/>
              </w:rPr>
            </w:pPr>
          </w:p>
          <w:p>
            <w:pPr>
              <w:widowControl/>
              <w:spacing w:before="40"/>
              <w:jc w:val="left"/>
              <w:rPr>
                <w:u w:val="single"/>
              </w:rPr>
            </w:pPr>
            <w:r>
              <w:rPr>
                <w:rFonts w:hint="eastAsia"/>
                <w:color w:val="000000"/>
                <w:szCs w:val="21"/>
              </w:rPr>
              <w:t>对质量管理体系/</w:t>
            </w:r>
            <w:r>
              <w:rPr>
                <w:rFonts w:hint="eastAsia"/>
              </w:rPr>
              <w:t>环境管理体系/职业健康安全管理体系</w:t>
            </w:r>
            <w:r>
              <w:rPr>
                <w:rFonts w:hint="eastAsia"/>
                <w:color w:val="000000"/>
                <w:szCs w:val="21"/>
              </w:rPr>
              <w:t>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p>
            <w:pPr>
              <w:pStyle w:val="2"/>
            </w:pPr>
            <w:r>
              <w:rPr>
                <w:rFonts w:hint="eastAsia"/>
              </w:rPr>
              <w:t>抽查管理评审输出情况：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color w:val="000000"/>
                      <w:szCs w:val="21"/>
                    </w:rPr>
                  </w:pPr>
                  <w:r>
                    <w:rPr>
                      <w:rFonts w:hint="eastAsia"/>
                      <w:color w:val="000000"/>
                      <w:szCs w:val="21"/>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环境管理体系所需的变更</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环境目标未实现所采取的措施。（需要时）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改进环境管理体系与其他业务过程融合的机会。（需要时）</w:t>
                  </w:r>
                </w:p>
              </w:tc>
              <w:tc>
                <w:tcPr>
                  <w:tcW w:w="3695" w:type="dxa"/>
                </w:tcPr>
                <w:p>
                  <w:pPr>
                    <w:widowControl/>
                    <w:spacing w:before="40"/>
                    <w:jc w:val="left"/>
                    <w:rPr>
                      <w:color w:val="000000"/>
                      <w:szCs w:val="21"/>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tcPr>
                <w:p>
                  <w:pPr>
                    <w:widowControl/>
                    <w:spacing w:before="40"/>
                    <w:jc w:val="left"/>
                    <w:rPr>
                      <w:szCs w:val="21"/>
                    </w:rPr>
                  </w:pPr>
                  <w:r>
                    <w:rPr>
                      <w:rFonts w:hint="eastAsia"/>
                    </w:rPr>
                    <w:t>与持续改进机会相关的决策</w:t>
                  </w:r>
                </w:p>
              </w:tc>
              <w:tc>
                <w:tcPr>
                  <w:tcW w:w="3695" w:type="dxa"/>
                </w:tcPr>
                <w:p>
                  <w:pPr>
                    <w:widowControl/>
                    <w:spacing w:before="40"/>
                    <w:jc w:val="left"/>
                    <w:rPr>
                      <w:szCs w:val="21"/>
                    </w:rPr>
                  </w:pPr>
                  <w:r>
                    <w:rPr>
                      <w:rFonts w:hint="eastAsia"/>
                      <w:szCs w:val="21"/>
                    </w:rPr>
                    <w:t>行政部门负责在2022年前招聘一名售后服务人员。经了解，目前正在实施中。</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szCs w:val="21"/>
                    </w:rPr>
                  </w:pPr>
                  <w:r>
                    <w:rPr>
                      <w:rFonts w:hint="eastAsia"/>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rPr>
                    <w:t>职业健康安全管理体系所需的变更</w:t>
                  </w:r>
                </w:p>
              </w:tc>
              <w:tc>
                <w:tcPr>
                  <w:tcW w:w="3695" w:type="dxa"/>
                </w:tcPr>
                <w:p>
                  <w:pPr>
                    <w:widowControl/>
                    <w:spacing w:before="40"/>
                    <w:jc w:val="left"/>
                    <w:rPr>
                      <w:szCs w:val="21"/>
                    </w:rPr>
                  </w:pPr>
                  <w:r>
                    <w:rPr>
                      <w:rFonts w:hint="eastAsia"/>
                      <w:szCs w:val="21"/>
                    </w:rPr>
                    <w:t>无</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rPr>
                    <w:t>所需资源</w:t>
                  </w:r>
                </w:p>
              </w:tc>
              <w:tc>
                <w:tcPr>
                  <w:tcW w:w="3695" w:type="dxa"/>
                </w:tcPr>
                <w:p>
                  <w:pPr>
                    <w:widowControl/>
                    <w:spacing w:before="40"/>
                    <w:jc w:val="left"/>
                    <w:rPr>
                      <w:szCs w:val="21"/>
                    </w:rPr>
                  </w:pPr>
                  <w:r>
                    <w:rPr>
                      <w:rFonts w:hint="eastAsia"/>
                      <w:szCs w:val="21"/>
                    </w:rPr>
                    <w:t>行政部门负责在2022年前招聘一名售后服务人员。</w:t>
                  </w:r>
                </w:p>
              </w:tc>
              <w:tc>
                <w:tcPr>
                  <w:tcW w:w="2496" w:type="dxa"/>
                </w:tcPr>
                <w:p>
                  <w:pPr>
                    <w:widowControl/>
                    <w:spacing w:before="40"/>
                    <w:jc w:val="left"/>
                    <w:rPr>
                      <w:szCs w:val="21"/>
                    </w:rPr>
                  </w:pPr>
                  <w:r>
                    <w:rPr>
                      <w:rFonts w:hint="eastAsia"/>
                      <w:szCs w:val="21"/>
                    </w:rPr>
                    <w:t>□</w:t>
                  </w:r>
                  <w:r>
                    <w:rPr>
                      <w:rFonts w:hint="eastAsia"/>
                    </w:rPr>
                    <w:t xml:space="preserve">已落实 </w:t>
                  </w:r>
                  <w:r>
                    <w:rPr>
                      <w:rFonts w:hint="eastAsia"/>
                      <w:szCs w:val="21"/>
                    </w:rPr>
                    <w:sym w:font="Wingdings 2" w:char="0052"/>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szCs w:val="21"/>
                    </w:rPr>
                    <w:t>目标未实现所采取的措施。（需要时）</w:t>
                  </w:r>
                </w:p>
              </w:tc>
              <w:tc>
                <w:tcPr>
                  <w:tcW w:w="3695" w:type="dxa"/>
                </w:tcPr>
                <w:p>
                  <w:pPr>
                    <w:widowControl/>
                    <w:spacing w:before="40"/>
                    <w:jc w:val="left"/>
                    <w:rPr>
                      <w:szCs w:val="21"/>
                    </w:rPr>
                  </w:pPr>
                  <w:r>
                    <w:rPr>
                      <w:rFonts w:hint="eastAsia"/>
                      <w:szCs w:val="21"/>
                    </w:rPr>
                    <w:t>----</w:t>
                  </w:r>
                </w:p>
              </w:tc>
              <w:tc>
                <w:tcPr>
                  <w:tcW w:w="2496" w:type="dxa"/>
                </w:tcPr>
                <w:p>
                  <w:pPr>
                    <w:widowControl/>
                    <w:spacing w:before="40"/>
                    <w:jc w:val="left"/>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szCs w:val="21"/>
                    </w:rPr>
                    <w:t>改进</w:t>
                  </w:r>
                  <w:r>
                    <w:rPr>
                      <w:rFonts w:hint="eastAsia"/>
                    </w:rPr>
                    <w:t>职业健康安全</w:t>
                  </w:r>
                  <w:r>
                    <w:rPr>
                      <w:rFonts w:hint="eastAsia"/>
                      <w:szCs w:val="21"/>
                    </w:rPr>
                    <w:t>管理体系与其他业务过程融合的机会。（需要时）</w:t>
                  </w:r>
                </w:p>
              </w:tc>
              <w:tc>
                <w:tcPr>
                  <w:tcW w:w="3695" w:type="dxa"/>
                </w:tcPr>
                <w:p>
                  <w:pPr>
                    <w:widowControl/>
                    <w:spacing w:before="40"/>
                    <w:jc w:val="left"/>
                    <w:rPr>
                      <w:szCs w:val="21"/>
                    </w:rPr>
                  </w:pPr>
                  <w:r>
                    <w:rPr>
                      <w:rFonts w:hint="eastAsia"/>
                      <w:szCs w:val="21"/>
                    </w:rPr>
                    <w:t>——</w:t>
                  </w:r>
                </w:p>
              </w:tc>
              <w:tc>
                <w:tcPr>
                  <w:tcW w:w="2496" w:type="dxa"/>
                </w:tcPr>
                <w:p>
                  <w:pPr>
                    <w:widowControl/>
                    <w:spacing w:before="40"/>
                    <w:jc w:val="left"/>
                    <w:rPr>
                      <w:szCs w:val="21"/>
                    </w:rPr>
                  </w:pPr>
                  <w:r>
                    <w:rPr>
                      <w:rFonts w:hint="eastAsia"/>
                      <w:szCs w:val="21"/>
                    </w:rPr>
                    <w:t>□</w:t>
                  </w:r>
                  <w:r>
                    <w:rPr>
                      <w:rFonts w:hint="eastAsia"/>
                    </w:rPr>
                    <w:t xml:space="preserve">已落实 </w:t>
                  </w:r>
                  <w:r>
                    <w:rPr>
                      <w:rFonts w:hint="eastAsia"/>
                      <w:szCs w:val="21"/>
                    </w:rPr>
                    <w:t>□</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szCs w:val="21"/>
                    </w:rPr>
                  </w:pPr>
                  <w:r>
                    <w:rPr>
                      <w:rFonts w:hint="eastAsia"/>
                      <w:szCs w:val="21"/>
                    </w:rPr>
                    <w:t>任何与组织战略方向相关的结论</w:t>
                  </w:r>
                </w:p>
              </w:tc>
              <w:tc>
                <w:tcPr>
                  <w:tcW w:w="3695" w:type="dxa"/>
                </w:tcPr>
                <w:p>
                  <w:pPr>
                    <w:widowControl/>
                    <w:spacing w:before="40"/>
                    <w:jc w:val="left"/>
                    <w:rPr>
                      <w:szCs w:val="21"/>
                    </w:rPr>
                  </w:pPr>
                  <w:r>
                    <w:rPr>
                      <w:rFonts w:hint="eastAsia"/>
                      <w:szCs w:val="21"/>
                    </w:rPr>
                    <w:t>职业健康安全管理有效</w:t>
                  </w:r>
                </w:p>
              </w:tc>
              <w:tc>
                <w:tcPr>
                  <w:tcW w:w="2496" w:type="dxa"/>
                </w:tcPr>
                <w:p>
                  <w:pPr>
                    <w:widowControl/>
                    <w:spacing w:before="40"/>
                    <w:jc w:val="left"/>
                    <w:rPr>
                      <w:szCs w:val="21"/>
                    </w:rPr>
                  </w:pPr>
                  <w:r>
                    <w:rPr>
                      <w:rFonts w:ascii="Segoe UI Emoji" w:hAnsi="Segoe UI Emoji" w:cs="Segoe UI Emoji"/>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szCs w:val="21"/>
                    </w:rPr>
                  </w:pPr>
                  <w:r>
                    <w:rPr>
                      <w:rFonts w:hint="eastAsia"/>
                      <w:szCs w:val="21"/>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改进的机会</w:t>
                  </w:r>
                </w:p>
              </w:tc>
              <w:tc>
                <w:tcPr>
                  <w:tcW w:w="3695" w:type="dxa"/>
                </w:tcPr>
                <w:p>
                  <w:pPr>
                    <w:widowControl/>
                    <w:spacing w:before="40"/>
                    <w:jc w:val="left"/>
                    <w:rPr>
                      <w:color w:val="000000"/>
                      <w:szCs w:val="21"/>
                    </w:rPr>
                  </w:pPr>
                  <w:r>
                    <w:rPr>
                      <w:rFonts w:hint="eastAsia"/>
                      <w:szCs w:val="21"/>
                    </w:rPr>
                    <w:t>行政部门负责在2022年前招聘一名售后服务人员。</w:t>
                  </w:r>
                </w:p>
              </w:tc>
              <w:tc>
                <w:tcPr>
                  <w:tcW w:w="2496" w:type="dxa"/>
                </w:tcPr>
                <w:p>
                  <w:pPr>
                    <w:widowControl/>
                    <w:spacing w:before="40"/>
                    <w:jc w:val="left"/>
                    <w:rPr>
                      <w:color w:val="000000"/>
                      <w:szCs w:val="21"/>
                    </w:rPr>
                  </w:pPr>
                  <w:r>
                    <w:rPr>
                      <w:rFonts w:hint="eastAsia"/>
                      <w:szCs w:val="21"/>
                    </w:rPr>
                    <w:t>□</w:t>
                  </w:r>
                  <w:r>
                    <w:rPr>
                      <w:rFonts w:hint="eastAsia"/>
                    </w:rPr>
                    <w:t xml:space="preserve">已落实 </w:t>
                  </w:r>
                  <w:r>
                    <w:rPr>
                      <w:rFonts w:hint="eastAsia"/>
                      <w:szCs w:val="21"/>
                    </w:rPr>
                    <w:sym w:font="Wingdings 2" w:char="0052"/>
                  </w:r>
                  <w:r>
                    <w:rPr>
                      <w:rFonts w:hint="eastAsia"/>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质量管理体系所需的变更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u w:val="single"/>
              </w:rPr>
            </w:pPr>
            <w:r>
              <w:rPr>
                <w:rFonts w:hint="eastAsia"/>
                <w:color w:val="000000"/>
                <w:szCs w:val="21"/>
              </w:rPr>
              <w:t>□</w:t>
            </w:r>
            <w:r>
              <w:rPr>
                <w:rFonts w:hint="eastAsia"/>
              </w:rPr>
              <w:t>改进措施未落实的原因：</w:t>
            </w:r>
            <w:r>
              <w:rPr>
                <w:rFonts w:hint="eastAsia"/>
                <w:u w:val="single"/>
              </w:rPr>
              <w:t xml:space="preserve">  </w:t>
            </w:r>
            <w:r>
              <w:rPr>
                <w:u w:val="single"/>
              </w:rPr>
              <w:t xml:space="preserve">  </w:t>
            </w:r>
            <w:r>
              <w:rPr>
                <w:rFonts w:hint="eastAsia"/>
                <w:u w:val="single"/>
              </w:rPr>
              <w:t xml:space="preserve">                   </w:t>
            </w:r>
          </w:p>
          <w:p/>
        </w:tc>
        <w:tc>
          <w:tcPr>
            <w:tcW w:w="1588"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改进</w:t>
            </w:r>
          </w:p>
        </w:tc>
        <w:tc>
          <w:tcPr>
            <w:tcW w:w="961"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管理手册10.1章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改进</w:t>
            </w:r>
          </w:p>
        </w:tc>
        <w:tc>
          <w:tcPr>
            <w:tcW w:w="961" w:type="dxa"/>
            <w:vMerge w:val="restart"/>
            <w:shd w:val="clear" w:color="auto" w:fill="auto"/>
          </w:tcPr>
          <w:p>
            <w:r>
              <w:rPr>
                <w:rFonts w:hint="eastAsia"/>
              </w:rPr>
              <w:t>EO10.1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rPr>
              <w:t>管理手册10.1章</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 xml:space="preserve">组织确定了改进机会，并采取必要措施，以实现其环境管理体系/职业健康安全管理体系的预期结果。。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改进环境管理体系/职业健康安全管理体系的绩效和有效性。 </w:t>
            </w:r>
          </w:p>
          <w:p/>
          <w:p>
            <w:r>
              <w:rPr>
                <w:rFonts w:hint="eastAsia"/>
              </w:rPr>
              <w:t xml:space="preserve">改进包括：纠正、纠正措施、持续改进、突破性变革、创新和重组。 </w:t>
            </w:r>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4" w:type="dxa"/>
            <w:vMerge w:val="restart"/>
            <w:shd w:val="clear" w:color="auto" w:fill="auto"/>
          </w:tcPr>
          <w:p>
            <w:r>
              <w:rPr>
                <w:rFonts w:hint="eastAsia"/>
              </w:rPr>
              <w:t>不符合与纠正措施</w:t>
            </w:r>
          </w:p>
        </w:tc>
        <w:tc>
          <w:tcPr>
            <w:tcW w:w="961" w:type="dxa"/>
            <w:vMerge w:val="restart"/>
            <w:shd w:val="clear" w:color="auto" w:fill="auto"/>
          </w:tcPr>
          <w:p>
            <w:r>
              <w:rPr>
                <w:rFonts w:hint="eastAsia"/>
              </w:rPr>
              <w:t>QEO10.2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rPr>
              <w:t>《不合格和纠正措施控制程序》</w:t>
            </w:r>
          </w:p>
        </w:tc>
        <w:tc>
          <w:tcPr>
            <w:tcW w:w="158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p>
          <w:p>
            <w:r>
              <w:rPr/>
              <w:sym w:font="Wingdings" w:char="00A8"/>
            </w:r>
            <w:r>
              <w:rPr>
                <w:rFonts w:hint="eastAsia"/>
              </w:rPr>
              <w:t xml:space="preserve">相关方投诉   </w:t>
            </w:r>
            <w:r>
              <w:rPr>
                <w:rFonts w:hint="eastAsia"/>
              </w:rPr>
              <w:sym w:font="Wingdings" w:char="00A8"/>
            </w:r>
            <w:r>
              <w:rPr>
                <w:rFonts w:hint="eastAsia"/>
              </w:rPr>
              <w:t xml:space="preserve">排放超标问题  </w:t>
            </w:r>
          </w:p>
          <w:p>
            <w:r>
              <w:rPr/>
              <w:sym w:font="Wingdings" w:char="00A8"/>
            </w:r>
            <w:r>
              <w:rPr>
                <w:rFonts w:hint="eastAsia"/>
              </w:rPr>
              <w:t xml:space="preserve">未遂事件 </w:t>
            </w:r>
            <w:r>
              <w:rPr/>
              <w:sym w:font="Wingdings" w:char="00A8"/>
            </w:r>
            <w:r>
              <w:rPr>
                <w:rFonts w:hint="eastAsia"/>
              </w:rPr>
              <w:t xml:space="preserve">工伤  </w:t>
            </w:r>
            <w:r>
              <w:rPr>
                <w:rFonts w:hint="eastAsia"/>
              </w:rPr>
              <w:sym w:font="Wingdings" w:char="00A8"/>
            </w:r>
            <w:r>
              <w:rPr>
                <w:rFonts w:hint="eastAsia"/>
              </w:rPr>
              <w:t xml:space="preserve">职业病检测结果  </w:t>
            </w:r>
            <w:r>
              <w:rPr>
                <w:rFonts w:hint="eastAsia"/>
              </w:rPr>
              <w:sym w:font="Wingdings" w:char="00A8"/>
            </w:r>
            <w:r>
              <w:rPr>
                <w:rFonts w:hint="eastAsia"/>
              </w:rPr>
              <w:t xml:space="preserve">工作运行中发现的问题  </w:t>
            </w:r>
            <w:r>
              <w:rPr>
                <w:rFonts w:hint="eastAsia"/>
              </w:rPr>
              <w:sym w:font="Wingdings" w:char="00A8"/>
            </w:r>
            <w:r>
              <w:rPr>
                <w:rFonts w:hint="eastAsia"/>
              </w:rPr>
              <w:t xml:space="preserve">其他  </w:t>
            </w:r>
          </w:p>
          <w:p>
            <w:pPr>
              <w:rPr>
                <w:u w:val="single"/>
              </w:rPr>
            </w:pPr>
            <w:r>
              <w:rPr>
                <w:rFonts w:hint="eastAsia"/>
              </w:rPr>
              <w:t>抽查采取纠正措施相关记录名称：</w:t>
            </w:r>
            <w:r>
              <w:rPr>
                <w:rFonts w:hint="eastAsia"/>
                <w:u w:val="single"/>
              </w:rPr>
              <w:t>《 审核周期内未发生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434" w:type="dxa"/>
                </w:tcPr>
                <w:p>
                  <w:r>
                    <w:rPr>
                      <w:rFonts w:hint="eastAsia"/>
                    </w:rPr>
                    <w:t>不符合纠正</w:t>
                  </w:r>
                </w:p>
              </w:tc>
              <w:tc>
                <w:tcPr>
                  <w:tcW w:w="1811" w:type="dxa"/>
                </w:tcPr>
                <w:p>
                  <w:r>
                    <w:rPr>
                      <w:rFonts w:hint="eastAsia"/>
                    </w:rPr>
                    <w:t>原因分析</w:t>
                  </w:r>
                </w:p>
              </w:tc>
              <w:tc>
                <w:tcPr>
                  <w:tcW w:w="1276"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tc>
              <w:tc>
                <w:tcPr>
                  <w:tcW w:w="2217" w:type="dxa"/>
                </w:tcPr>
                <w:p/>
              </w:tc>
              <w:tc>
                <w:tcPr>
                  <w:tcW w:w="1434" w:type="dxa"/>
                </w:tcPr>
                <w:p/>
              </w:tc>
              <w:tc>
                <w:tcPr>
                  <w:tcW w:w="1811" w:type="dxa"/>
                </w:tcPr>
                <w:p/>
              </w:tc>
              <w:tc>
                <w:tcPr>
                  <w:tcW w:w="1276"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tc>
              <w:tc>
                <w:tcPr>
                  <w:tcW w:w="2217" w:type="dxa"/>
                </w:tcPr>
                <w:p/>
              </w:tc>
              <w:tc>
                <w:tcPr>
                  <w:tcW w:w="1434" w:type="dxa"/>
                </w:tcPr>
                <w:p/>
              </w:tc>
              <w:tc>
                <w:tcPr>
                  <w:tcW w:w="1811" w:type="dxa"/>
                </w:tcPr>
                <w:p/>
              </w:tc>
              <w:tc>
                <w:tcPr>
                  <w:tcW w:w="1276"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bl>
          <w:p/>
          <w:p>
            <w:r>
              <w:rPr>
                <w:rFonts w:hint="eastAsia"/>
              </w:rPr>
              <w:t>OHSMS：审核周期内未发生</w:t>
            </w:r>
          </w:p>
          <w:p>
            <w:r>
              <w:rPr>
                <w:rFonts w:hint="eastAsia"/>
              </w:rPr>
              <w:t xml:space="preserve">确定并实施纠正措施按照控制层级和变更管理；                      </w:t>
            </w:r>
            <w:r>
              <w:rPr>
                <w:rFonts w:hint="eastAsia"/>
              </w:rPr>
              <w:sym w:font="Wingdings" w:char="00A8"/>
            </w:r>
            <w:r>
              <w:rPr>
                <w:rFonts w:hint="eastAsia"/>
              </w:rPr>
              <w:t xml:space="preserve">符合  </w:t>
            </w:r>
            <w:r>
              <w:rPr>
                <w:rFonts w:hint="eastAsia"/>
              </w:rPr>
              <w:sym w:font="Wingdings" w:char="00A8"/>
            </w:r>
            <w:r>
              <w:rPr>
                <w:rFonts w:hint="eastAsia"/>
              </w:rPr>
              <w:t>不符合</w:t>
            </w:r>
          </w:p>
          <w:p>
            <w:r>
              <w:rPr>
                <w:rFonts w:hint="eastAsia"/>
              </w:rPr>
              <w:t xml:space="preserve">在采取措施前，评价与新的或变化的危险源相关的职业健康安全风险；  </w:t>
            </w:r>
            <w:r>
              <w:rPr>
                <w:rFonts w:hint="eastAsia"/>
              </w:rPr>
              <w:sym w:font="Wingdings" w:char="00A8"/>
            </w:r>
            <w:r>
              <w:rPr>
                <w:rFonts w:hint="eastAsia"/>
              </w:rPr>
              <w:t xml:space="preserve">符合  </w:t>
            </w:r>
            <w:r>
              <w:rPr>
                <w:rFonts w:hint="eastAsia"/>
              </w:rPr>
              <w:sym w:font="Wingdings" w:char="00A8"/>
            </w:r>
            <w:r>
              <w:rPr>
                <w:rFonts w:hint="eastAsia"/>
              </w:rPr>
              <w:t>不符合</w:t>
            </w:r>
          </w:p>
          <w:p>
            <w:r>
              <w:rPr>
                <w:rFonts w:hint="eastAsia"/>
              </w:rPr>
              <w:t xml:space="preserve">评审任何所采取措施的有效性，包括纠正措施；                      </w:t>
            </w:r>
            <w:r>
              <w:rPr>
                <w:rFonts w:hint="eastAsia"/>
              </w:rPr>
              <w:sym w:font="Wingdings" w:char="00A8"/>
            </w:r>
            <w:r>
              <w:rPr>
                <w:rFonts w:hint="eastAsia"/>
              </w:rPr>
              <w:t xml:space="preserve">符合  </w:t>
            </w:r>
            <w:r>
              <w:rPr>
                <w:rFonts w:hint="eastAsia"/>
              </w:rPr>
              <w:sym w:font="Wingdings" w:char="00A8"/>
            </w:r>
            <w:r>
              <w:rPr>
                <w:rFonts w:hint="eastAsia"/>
              </w:rPr>
              <w:t>不符合</w:t>
            </w:r>
          </w:p>
          <w:p>
            <w:r>
              <w:rPr>
                <w:rFonts w:hint="eastAsia"/>
              </w:rPr>
              <w:t xml:space="preserve">在必要时，变更职业健康安全管理体系。                            </w:t>
            </w:r>
            <w:r>
              <w:rPr>
                <w:rFonts w:hint="eastAsia"/>
              </w:rPr>
              <w:sym w:font="Wingdings" w:char="00A8"/>
            </w:r>
            <w:r>
              <w:rPr>
                <w:rFonts w:hint="eastAsia"/>
              </w:rPr>
              <w:t xml:space="preserve">符合  </w:t>
            </w:r>
            <w:r>
              <w:rPr>
                <w:rFonts w:hint="eastAsia"/>
              </w:rPr>
              <w:sym w:font="Wingdings" w:char="00A8"/>
            </w:r>
            <w:r>
              <w:rPr>
                <w:rFonts w:hint="eastAsia"/>
              </w:rPr>
              <w:t>不符合</w:t>
            </w:r>
          </w:p>
          <w:p/>
        </w:tc>
        <w:tc>
          <w:tcPr>
            <w:tcW w:w="158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64" w:type="dxa"/>
            <w:vMerge w:val="restart"/>
            <w:shd w:val="clear" w:color="auto" w:fill="auto"/>
          </w:tcPr>
          <w:p>
            <w:r>
              <w:t>分析与评价</w:t>
            </w:r>
          </w:p>
        </w:tc>
        <w:tc>
          <w:tcPr>
            <w:tcW w:w="961" w:type="dxa"/>
            <w:vMerge w:val="restart"/>
            <w:shd w:val="clear" w:color="auto" w:fill="auto"/>
          </w:tcPr>
          <w:p>
            <w:r>
              <w:t>Q</w:t>
            </w:r>
            <w:r>
              <w:rPr>
                <w:rFonts w:hint="eastAsia"/>
              </w:rPr>
              <w:t>9.1.</w:t>
            </w:r>
            <w:r>
              <w:t>3</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hint="eastAsia"/>
              </w:rPr>
              <w:t>9.1.3条款、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《监</w:t>
            </w:r>
            <w:r>
              <w:t>视</w:t>
            </w:r>
            <w:r>
              <w:rPr>
                <w:rFonts w:hint="eastAsia"/>
              </w:rPr>
              <w:t>和</w:t>
            </w:r>
            <w:r>
              <w:t>测量</w:t>
            </w:r>
            <w:r>
              <w:rPr>
                <w:rFonts w:hint="eastAsia"/>
              </w:rPr>
              <w:t>控制程序》</w:t>
            </w:r>
          </w:p>
        </w:tc>
        <w:tc>
          <w:tcPr>
            <w:tcW w:w="1588"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4" w:type="dxa"/>
            <w:vMerge w:val="continue"/>
            <w:shd w:val="clear" w:color="auto" w:fill="auto"/>
          </w:tcPr>
          <w:p/>
        </w:tc>
        <w:tc>
          <w:tcPr>
            <w:tcW w:w="961"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tbl>
            <w:tblPr>
              <w:tblStyle w:val="10"/>
              <w:tblW w:w="14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 w:hRule="atLeast"/>
              </w:trPr>
              <w:tc>
                <w:tcPr>
                  <w:tcW w:w="9259" w:type="dxa"/>
                  <w:shd w:val="clear" w:color="auto" w:fill="auto"/>
                </w:tcPr>
                <w:p>
                  <w:r>
                    <w:t>组织</w:t>
                  </w:r>
                  <w:r>
                    <w:rPr>
                      <w:rFonts w:hint="eastAsia"/>
                    </w:rPr>
                    <w:t>对下列</w:t>
                  </w:r>
                  <w:r>
                    <w:t>监测和测量产生的适当数据和信息</w:t>
                  </w:r>
                  <w:r>
                    <w:rPr>
                      <w:rFonts w:hint="eastAsia"/>
                    </w:rPr>
                    <w:t>进行</w:t>
                  </w:r>
                  <w:r>
                    <w:t>分析和评估，</w:t>
                  </w:r>
                </w:p>
                <w:p/>
                <w:p>
                  <w:r>
                    <w:rPr>
                      <w:rFonts w:hint="eastAsia"/>
                    </w:rPr>
                    <w:t>应利用分析结果</w:t>
                  </w:r>
                  <w:r>
                    <w:t>进行</w:t>
                  </w:r>
                  <w:r>
                    <w:rPr>
                      <w:rFonts w:hint="eastAsia"/>
                    </w:rPr>
                    <w:t>评价</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产品和服务的符合性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顾客满意程度</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质量管理体系的绩效和有效性</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策划是否得到有效实施</w:t>
                  </w:r>
                  <w: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针对风险和机遇所采取措施的有效性</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外部供方的绩效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 xml:space="preserve"> </w:t>
                  </w:r>
                  <w:r>
                    <w:rPr>
                      <w:rFonts w:hint="eastAsia"/>
                    </w:rPr>
                    <w:t>质量管理体系改进的需求</w:t>
                  </w:r>
                  <w:r>
                    <w:t>。</w:t>
                  </w:r>
                </w:p>
                <w:p>
                  <w:r>
                    <w:rPr>
                      <w:rFonts w:hint="eastAsia"/>
                    </w:rPr>
                    <w:t xml:space="preserve">组织应分析和评价通过监视和测量获得的适当的数据和信息。 </w:t>
                  </w:r>
                </w:p>
                <w:p/>
                <w:p>
                  <w:r>
                    <w:rPr>
                      <w:rFonts w:hint="eastAsia"/>
                    </w:rPr>
                    <w:t>分</w:t>
                  </w:r>
                  <w:r>
                    <w:t>析数据的统计技术包括</w:t>
                  </w:r>
                  <w:r>
                    <w:rPr>
                      <w:rFonts w:hint="eastAsia"/>
                    </w:rPr>
                    <w:t>：</w:t>
                  </w:r>
                </w:p>
                <w:p>
                  <w:r>
                    <w:rPr>
                      <w:rFonts w:hint="eastAsia"/>
                      <w:color w:val="000000"/>
                      <w:szCs w:val="21"/>
                    </w:rPr>
                    <w:t xml:space="preserve">□因果图 □柱状图 □ 饼状图 □SPC图 □排列图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其他——E</w:t>
                  </w:r>
                  <w:r>
                    <w:rPr>
                      <w:color w:val="000000"/>
                      <w:szCs w:val="21"/>
                    </w:rPr>
                    <w:t>XCEL</w:t>
                  </w:r>
                  <w:r>
                    <w:rPr>
                      <w:rFonts w:hint="eastAsia"/>
                      <w:color w:val="000000"/>
                      <w:szCs w:val="21"/>
                    </w:rPr>
                    <w:t>统计</w:t>
                  </w:r>
                </w:p>
                <w:p/>
                <w:p>
                  <w:r>
                    <w:rPr>
                      <w:rFonts w:hint="eastAsia"/>
                      <w:u w:val="single"/>
                    </w:rPr>
                    <w:t>见《管理评审报告》</w:t>
                  </w:r>
                </w:p>
              </w:tc>
            </w:tr>
          </w:tbl>
          <w:p/>
        </w:tc>
        <w:tc>
          <w:tcPr>
            <w:tcW w:w="1588" w:type="dxa"/>
            <w:vMerge w:val="continue"/>
            <w:shd w:val="clear" w:color="auto" w:fill="auto"/>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4D003148"/>
    <w:multiLevelType w:val="singleLevel"/>
    <w:tmpl w:val="4D003148"/>
    <w:lvl w:ilvl="0" w:tentative="0">
      <w:start w:val="1"/>
      <w:numFmt w:val="decimal"/>
      <w:lvlText w:val="%1."/>
      <w:lvlJc w:val="left"/>
      <w:pPr>
        <w:tabs>
          <w:tab w:val="left" w:pos="312"/>
        </w:tabs>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35" w:firstLine="0"/>
      </w:pPr>
      <w:rPr>
        <w:rFonts w:hint="eastAsia" w:ascii="黑体" w:hAnsi="Times New Roman" w:eastAsia="黑体"/>
        <w:b w:val="0"/>
        <w:i w:val="0"/>
        <w:sz w:val="21"/>
      </w:rPr>
    </w:lvl>
    <w:lvl w:ilvl="3" w:tentative="0">
      <w:start w:val="1"/>
      <w:numFmt w:val="decimal"/>
      <w:pStyle w:val="19"/>
      <w:suff w:val="nothing"/>
      <w:lvlText w:val="%1%2.%3.%4　"/>
      <w:lvlJc w:val="left"/>
      <w:pPr>
        <w:ind w:left="1050" w:firstLine="0"/>
      </w:pPr>
      <w:rPr>
        <w:rFonts w:hint="eastAsia" w:ascii="黑体" w:hAnsi="Times New Roman" w:eastAsia="黑体"/>
        <w:b w:val="0"/>
        <w:i w:val="0"/>
        <w:sz w:val="21"/>
      </w:rPr>
    </w:lvl>
    <w:lvl w:ilvl="4" w:tentative="0">
      <w:start w:val="1"/>
      <w:numFmt w:val="decimal"/>
      <w:pStyle w:val="18"/>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53043"/>
    <w:rsid w:val="00062E46"/>
    <w:rsid w:val="000D68F9"/>
    <w:rsid w:val="000E6B21"/>
    <w:rsid w:val="000E7B9C"/>
    <w:rsid w:val="000E7D69"/>
    <w:rsid w:val="001037D1"/>
    <w:rsid w:val="001140D6"/>
    <w:rsid w:val="00114276"/>
    <w:rsid w:val="00115F2C"/>
    <w:rsid w:val="00120F32"/>
    <w:rsid w:val="001A2D7F"/>
    <w:rsid w:val="001E7B5E"/>
    <w:rsid w:val="001F1502"/>
    <w:rsid w:val="00203518"/>
    <w:rsid w:val="00206F21"/>
    <w:rsid w:val="0023692C"/>
    <w:rsid w:val="002822F1"/>
    <w:rsid w:val="002939AD"/>
    <w:rsid w:val="002A7D96"/>
    <w:rsid w:val="002E061E"/>
    <w:rsid w:val="002E4907"/>
    <w:rsid w:val="00304BD2"/>
    <w:rsid w:val="00314AF6"/>
    <w:rsid w:val="00317A7A"/>
    <w:rsid w:val="00334BC0"/>
    <w:rsid w:val="003359ED"/>
    <w:rsid w:val="00337922"/>
    <w:rsid w:val="00340867"/>
    <w:rsid w:val="00350F52"/>
    <w:rsid w:val="00380837"/>
    <w:rsid w:val="00385661"/>
    <w:rsid w:val="003A198A"/>
    <w:rsid w:val="003C2E23"/>
    <w:rsid w:val="00410914"/>
    <w:rsid w:val="00425CB8"/>
    <w:rsid w:val="00477A20"/>
    <w:rsid w:val="0048201E"/>
    <w:rsid w:val="0049215F"/>
    <w:rsid w:val="00492EA3"/>
    <w:rsid w:val="004B2B8D"/>
    <w:rsid w:val="004E753A"/>
    <w:rsid w:val="00531A59"/>
    <w:rsid w:val="00536930"/>
    <w:rsid w:val="00564E53"/>
    <w:rsid w:val="00571451"/>
    <w:rsid w:val="005B6354"/>
    <w:rsid w:val="005C60E6"/>
    <w:rsid w:val="005C6B53"/>
    <w:rsid w:val="005D5659"/>
    <w:rsid w:val="005E2DC1"/>
    <w:rsid w:val="00600C20"/>
    <w:rsid w:val="00603398"/>
    <w:rsid w:val="00644FE2"/>
    <w:rsid w:val="00660E47"/>
    <w:rsid w:val="00663F71"/>
    <w:rsid w:val="0067640C"/>
    <w:rsid w:val="00691D92"/>
    <w:rsid w:val="006D7C48"/>
    <w:rsid w:val="006E678B"/>
    <w:rsid w:val="006E7B1D"/>
    <w:rsid w:val="006F2BFB"/>
    <w:rsid w:val="006F4E60"/>
    <w:rsid w:val="0070341D"/>
    <w:rsid w:val="00705D46"/>
    <w:rsid w:val="007145DD"/>
    <w:rsid w:val="007370FF"/>
    <w:rsid w:val="00751BE3"/>
    <w:rsid w:val="007757F3"/>
    <w:rsid w:val="00782A29"/>
    <w:rsid w:val="007860F5"/>
    <w:rsid w:val="007862A3"/>
    <w:rsid w:val="007C1B48"/>
    <w:rsid w:val="007D1D38"/>
    <w:rsid w:val="007E3B15"/>
    <w:rsid w:val="007E6AEB"/>
    <w:rsid w:val="00837707"/>
    <w:rsid w:val="00850B33"/>
    <w:rsid w:val="008630EE"/>
    <w:rsid w:val="0088223B"/>
    <w:rsid w:val="008973EE"/>
    <w:rsid w:val="008B35B1"/>
    <w:rsid w:val="008C05BC"/>
    <w:rsid w:val="0090032F"/>
    <w:rsid w:val="00910EB7"/>
    <w:rsid w:val="00920906"/>
    <w:rsid w:val="00971600"/>
    <w:rsid w:val="009734AB"/>
    <w:rsid w:val="0097671F"/>
    <w:rsid w:val="00982C7A"/>
    <w:rsid w:val="009973B4"/>
    <w:rsid w:val="009A1591"/>
    <w:rsid w:val="009C28C1"/>
    <w:rsid w:val="009D0D15"/>
    <w:rsid w:val="009E7642"/>
    <w:rsid w:val="009F7EED"/>
    <w:rsid w:val="00A024CA"/>
    <w:rsid w:val="00A109EE"/>
    <w:rsid w:val="00A20FA8"/>
    <w:rsid w:val="00A45C5D"/>
    <w:rsid w:val="00A80636"/>
    <w:rsid w:val="00A80E58"/>
    <w:rsid w:val="00A84153"/>
    <w:rsid w:val="00AC2E27"/>
    <w:rsid w:val="00AF0AAB"/>
    <w:rsid w:val="00AF4208"/>
    <w:rsid w:val="00B109D0"/>
    <w:rsid w:val="00B50FD7"/>
    <w:rsid w:val="00B66A2B"/>
    <w:rsid w:val="00B801A2"/>
    <w:rsid w:val="00BA5DC8"/>
    <w:rsid w:val="00BB07DF"/>
    <w:rsid w:val="00BC6417"/>
    <w:rsid w:val="00BF597E"/>
    <w:rsid w:val="00C03A49"/>
    <w:rsid w:val="00C51A36"/>
    <w:rsid w:val="00C55228"/>
    <w:rsid w:val="00C63768"/>
    <w:rsid w:val="00C65F2B"/>
    <w:rsid w:val="00C96ED9"/>
    <w:rsid w:val="00CA0FC8"/>
    <w:rsid w:val="00CC14E8"/>
    <w:rsid w:val="00CD43A4"/>
    <w:rsid w:val="00CD71D8"/>
    <w:rsid w:val="00CE315A"/>
    <w:rsid w:val="00D06F59"/>
    <w:rsid w:val="00D556F7"/>
    <w:rsid w:val="00D708B1"/>
    <w:rsid w:val="00D71355"/>
    <w:rsid w:val="00D8388C"/>
    <w:rsid w:val="00DA1B31"/>
    <w:rsid w:val="00DB3AAB"/>
    <w:rsid w:val="00DC055B"/>
    <w:rsid w:val="00DD3530"/>
    <w:rsid w:val="00DE720A"/>
    <w:rsid w:val="00DF2BFF"/>
    <w:rsid w:val="00E0310F"/>
    <w:rsid w:val="00E120F4"/>
    <w:rsid w:val="00E25E5F"/>
    <w:rsid w:val="00E44FF5"/>
    <w:rsid w:val="00E6224C"/>
    <w:rsid w:val="00E65C8F"/>
    <w:rsid w:val="00E72B10"/>
    <w:rsid w:val="00E7573D"/>
    <w:rsid w:val="00EB0164"/>
    <w:rsid w:val="00EB0BEE"/>
    <w:rsid w:val="00EC57BB"/>
    <w:rsid w:val="00ED0F62"/>
    <w:rsid w:val="00ED1A48"/>
    <w:rsid w:val="00ED36FB"/>
    <w:rsid w:val="00EF0E5F"/>
    <w:rsid w:val="00F2198C"/>
    <w:rsid w:val="00F227CF"/>
    <w:rsid w:val="00F312E0"/>
    <w:rsid w:val="00F43A54"/>
    <w:rsid w:val="00F56D22"/>
    <w:rsid w:val="00F72F77"/>
    <w:rsid w:val="00F7499A"/>
    <w:rsid w:val="00F95ED9"/>
    <w:rsid w:val="00FA4F5B"/>
    <w:rsid w:val="00FA531B"/>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538C3"/>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33831"/>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6E0495"/>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Autospacing="1" w:afterAutospacing="1"/>
      <w:jc w:val="left"/>
    </w:pPr>
    <w:rPr>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三级条标题"/>
    <w:basedOn w:val="19"/>
    <w:next w:val="21"/>
    <w:qFormat/>
    <w:uiPriority w:val="0"/>
    <w:pPr>
      <w:numPr>
        <w:ilvl w:val="4"/>
      </w:numPr>
      <w:outlineLvl w:val="4"/>
    </w:pPr>
  </w:style>
  <w:style w:type="paragraph" w:customStyle="1" w:styleId="19">
    <w:name w:val="二级条标题"/>
    <w:basedOn w:val="20"/>
    <w:next w:val="21"/>
    <w:qFormat/>
    <w:uiPriority w:val="0"/>
    <w:pPr>
      <w:numPr>
        <w:ilvl w:val="3"/>
      </w:numPr>
      <w:outlineLvl w:val="3"/>
    </w:pPr>
  </w:style>
  <w:style w:type="paragraph" w:customStyle="1" w:styleId="20">
    <w:name w:val="一级条标题"/>
    <w:next w:val="2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2647</Words>
  <Characters>15094</Characters>
  <Lines>125</Lines>
  <Paragraphs>35</Paragraphs>
  <TotalTime>6</TotalTime>
  <ScaleCrop>false</ScaleCrop>
  <LinksUpToDate>false</LinksUpToDate>
  <CharactersWithSpaces>17706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2022-01-11T13:43:49Z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F253F199A9C8416691CBFF801D391AFA</vt:lpwstr>
  </property>
</Properties>
</file>