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bookmarkStart w:id="0" w:name="组织名称"/>
            <w:r>
              <w:rPr>
                <w:rFonts w:hint="eastAsia"/>
                <w:sz w:val="24"/>
                <w:szCs w:val="24"/>
              </w:rPr>
              <w:t>无锡市森大竹木业有限公司</w:t>
            </w:r>
            <w:bookmarkEnd w:id="0"/>
            <w:r>
              <w:rPr>
                <w:rFonts w:hint="eastAsia"/>
                <w:sz w:val="24"/>
                <w:szCs w:val="24"/>
                <w:lang w:val="en-US" w:eastAsia="zh-CN"/>
              </w:rPr>
              <w:t xml:space="preserve">  </w:t>
            </w:r>
            <w:r>
              <w:rPr>
                <w:rFonts w:hint="eastAsia"/>
                <w:sz w:val="24"/>
                <w:szCs w:val="24"/>
              </w:rPr>
              <w:t>主管领导：</w:t>
            </w:r>
            <w:bookmarkStart w:id="1" w:name="管理者代表"/>
            <w:r>
              <w:rPr>
                <w:rFonts w:hint="eastAsia"/>
                <w:sz w:val="24"/>
                <w:szCs w:val="24"/>
                <w:lang w:val="en-US" w:eastAsia="zh-CN"/>
              </w:rPr>
              <w:t xml:space="preserve">朱晓露； </w:t>
            </w:r>
            <w:bookmarkEnd w:id="1"/>
            <w:r>
              <w:rPr>
                <w:rFonts w:hint="eastAsia"/>
                <w:sz w:val="24"/>
                <w:szCs w:val="24"/>
              </w:rPr>
              <w:t>陪同人员：</w:t>
            </w:r>
            <w:r>
              <w:rPr>
                <w:rFonts w:hint="eastAsia"/>
                <w:sz w:val="24"/>
                <w:szCs w:val="24"/>
                <w:lang w:val="en-US" w:eastAsia="zh-CN"/>
              </w:rPr>
              <w:t xml:space="preserve">董敏；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bookmarkStart w:id="2" w:name="审核组成员不含组长"/>
            <w:r>
              <w:rPr>
                <w:rFonts w:hint="eastAsia"/>
                <w:sz w:val="24"/>
                <w:szCs w:val="24"/>
                <w:lang w:val="en-US" w:eastAsia="zh-CN"/>
              </w:rPr>
              <w:t xml:space="preserve">林兵 </w:t>
            </w:r>
            <w:bookmarkEnd w:id="2"/>
            <w:r>
              <w:rPr>
                <w:rFonts w:hint="eastAsia"/>
                <w:sz w:val="24"/>
                <w:szCs w:val="24"/>
                <w:lang w:val="en-US" w:eastAsia="zh-CN"/>
              </w:rPr>
              <w:t xml:space="preserve">   </w:t>
            </w:r>
            <w:r>
              <w:rPr>
                <w:rFonts w:hint="eastAsia"/>
                <w:sz w:val="24"/>
                <w:szCs w:val="24"/>
              </w:rPr>
              <w:t>审核时间：</w:t>
            </w:r>
            <w:bookmarkStart w:id="3" w:name="审核日期"/>
            <w:r>
              <w:t>2022年01月10日 上午至2022年01月12日 上午</w:t>
            </w:r>
            <w:bookmarkEnd w:id="3"/>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pStyle w:val="2"/>
              <w:rPr>
                <w:rFonts w:hint="default"/>
                <w:sz w:val="21"/>
                <w:szCs w:val="21"/>
                <w:lang w:val="en-US" w:eastAsia="zh-CN"/>
              </w:rPr>
            </w:pPr>
            <w:r>
              <w:rPr>
                <w:rFonts w:hint="eastAsia"/>
                <w:sz w:val="24"/>
                <w:szCs w:val="24"/>
              </w:rPr>
              <w:t>审核条款：</w:t>
            </w:r>
            <w:r>
              <w:rPr>
                <w:rFonts w:hint="eastAsia"/>
                <w:sz w:val="21"/>
                <w:szCs w:val="21"/>
              </w:rPr>
              <w:t xml:space="preserve">QMS: </w:t>
            </w:r>
            <w:r>
              <w:rPr>
                <w:rFonts w:hint="eastAsia"/>
                <w:sz w:val="21"/>
                <w:szCs w:val="21"/>
                <w:lang w:val="en-US" w:eastAsia="zh-CN"/>
              </w:rPr>
              <w:t>5</w:t>
            </w:r>
            <w:r>
              <w:rPr>
                <w:rFonts w:hint="eastAsia"/>
                <w:sz w:val="21"/>
                <w:szCs w:val="21"/>
              </w:rPr>
              <w:t>.3</w:t>
            </w:r>
            <w:r>
              <w:rPr>
                <w:rFonts w:hint="eastAsia"/>
                <w:sz w:val="21"/>
                <w:szCs w:val="21"/>
                <w:lang w:val="en-US" w:eastAsia="zh-CN"/>
              </w:rPr>
              <w:t>/</w:t>
            </w:r>
            <w:r>
              <w:rPr>
                <w:rFonts w:hint="eastAsia"/>
                <w:sz w:val="21"/>
                <w:szCs w:val="21"/>
              </w:rPr>
              <w:t>6.2</w:t>
            </w:r>
            <w:r>
              <w:rPr>
                <w:rFonts w:hint="eastAsia"/>
                <w:sz w:val="21"/>
                <w:szCs w:val="21"/>
                <w:lang w:val="en-US" w:eastAsia="zh-CN"/>
              </w:rPr>
              <w:t>/8.2/8.4/8.5.3/8.5.5/9.1.2</w:t>
            </w:r>
          </w:p>
          <w:p>
            <w:pPr>
              <w:pStyle w:val="2"/>
              <w:rPr>
                <w:rFonts w:hint="eastAsia"/>
                <w:sz w:val="21"/>
                <w:szCs w:val="21"/>
                <w:lang w:val="en-US" w:eastAsia="zh-CN"/>
              </w:rPr>
            </w:pPr>
            <w:r>
              <w:rPr>
                <w:rFonts w:hint="eastAsia"/>
                <w:sz w:val="21"/>
                <w:szCs w:val="21"/>
                <w:lang w:val="en-US" w:eastAsia="zh-CN"/>
              </w:rPr>
              <w:t>EMS:5</w:t>
            </w:r>
            <w:r>
              <w:rPr>
                <w:rFonts w:hint="eastAsia"/>
                <w:sz w:val="21"/>
                <w:szCs w:val="21"/>
              </w:rPr>
              <w:t>.3</w:t>
            </w:r>
            <w:r>
              <w:rPr>
                <w:rFonts w:hint="eastAsia"/>
                <w:sz w:val="21"/>
                <w:szCs w:val="21"/>
                <w:lang w:val="en-US" w:eastAsia="zh-CN"/>
              </w:rPr>
              <w:t>/</w:t>
            </w:r>
            <w:r>
              <w:rPr>
                <w:rFonts w:hint="eastAsia"/>
                <w:sz w:val="21"/>
                <w:szCs w:val="21"/>
              </w:rPr>
              <w:t>6.2</w:t>
            </w:r>
            <w:r>
              <w:rPr>
                <w:rFonts w:hint="eastAsia"/>
                <w:sz w:val="21"/>
                <w:szCs w:val="21"/>
                <w:lang w:val="en-US" w:eastAsia="zh-CN"/>
              </w:rPr>
              <w:t>/6.1.2/6.1.4/8.1/8.2</w:t>
            </w:r>
          </w:p>
          <w:p>
            <w:pPr>
              <w:rPr>
                <w:sz w:val="24"/>
                <w:szCs w:val="24"/>
              </w:rPr>
            </w:pPr>
            <w:r>
              <w:rPr>
                <w:rFonts w:hint="eastAsia"/>
                <w:sz w:val="21"/>
                <w:szCs w:val="21"/>
                <w:lang w:val="en-US" w:eastAsia="zh-CN"/>
              </w:rPr>
              <w:t>OHSMS:5</w:t>
            </w:r>
            <w:r>
              <w:rPr>
                <w:rFonts w:hint="eastAsia"/>
                <w:sz w:val="21"/>
                <w:szCs w:val="21"/>
              </w:rPr>
              <w:t>.3</w:t>
            </w:r>
            <w:r>
              <w:rPr>
                <w:rFonts w:hint="eastAsia"/>
                <w:sz w:val="21"/>
                <w:szCs w:val="21"/>
                <w:lang w:val="en-US" w:eastAsia="zh-CN"/>
              </w:rPr>
              <w:t>/</w:t>
            </w:r>
            <w:r>
              <w:rPr>
                <w:rFonts w:hint="eastAsia"/>
                <w:sz w:val="21"/>
                <w:szCs w:val="21"/>
              </w:rPr>
              <w:t>6.2</w:t>
            </w:r>
            <w:r>
              <w:rPr>
                <w:rFonts w:hint="eastAsia"/>
                <w:sz w:val="21"/>
                <w:szCs w:val="21"/>
                <w:lang w:val="en-US" w:eastAsia="zh-CN"/>
              </w:rPr>
              <w:t>/6.1.2/6.1.4/8.1/8.2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eastAsia="宋体" w:cs="宋体"/>
                <w:kern w:val="2"/>
                <w:sz w:val="21"/>
                <w:szCs w:val="21"/>
                <w:lang w:val="en-US" w:eastAsia="zh-CN" w:bidi="ar-SA"/>
              </w:rPr>
            </w:pPr>
          </w:p>
        </w:tc>
        <w:tc>
          <w:tcPr>
            <w:tcW w:w="960" w:type="dxa"/>
            <w:vAlign w:val="top"/>
          </w:tcPr>
          <w:p>
            <w:pPr>
              <w:spacing w:line="280" w:lineRule="exact"/>
              <w:rPr>
                <w:rFonts w:ascii="宋体" w:hAnsi="宋体" w:eastAsia="宋体" w:cs="宋体"/>
                <w:kern w:val="2"/>
                <w:sz w:val="21"/>
                <w:szCs w:val="21"/>
                <w:lang w:val="en-US" w:eastAsia="zh-CN" w:bidi="ar-SA"/>
              </w:rPr>
            </w:pPr>
            <w:r>
              <w:rPr>
                <w:rFonts w:ascii="宋体" w:cs="宋体"/>
                <w:szCs w:val="21"/>
              </w:rPr>
              <w:t>QE</w:t>
            </w:r>
            <w:r>
              <w:rPr>
                <w:szCs w:val="21"/>
              </w:rPr>
              <w:t>O</w:t>
            </w:r>
            <w:r>
              <w:rPr>
                <w:rFonts w:ascii="宋体" w:cs="宋体"/>
                <w:szCs w:val="21"/>
              </w:rPr>
              <w:t>5.3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lang w:eastAsia="zh-CN"/>
              </w:rPr>
              <w:t>供销部</w:t>
            </w:r>
            <w:r>
              <w:rPr>
                <w:rFonts w:hint="eastAsia" w:ascii="宋体" w:hAnsi="宋体" w:cs="宋体"/>
                <w:szCs w:val="21"/>
              </w:rPr>
              <w:t>按照公司领导要求，做好公司职能和岗位的具体确定，对从事与</w:t>
            </w:r>
            <w:r>
              <w:rPr>
                <w:rFonts w:hint="eastAsia" w:ascii="宋体" w:hAnsi="宋体" w:cs="宋体"/>
                <w:szCs w:val="21"/>
                <w:lang w:val="en-US" w:eastAsia="zh-CN"/>
              </w:rPr>
              <w:t>采购、</w:t>
            </w:r>
            <w:r>
              <w:rPr>
                <w:rFonts w:hint="eastAsia" w:ascii="宋体" w:hAnsi="宋体" w:cs="宋体"/>
                <w:szCs w:val="21"/>
              </w:rPr>
              <w:t>销售有关的管理、执行和验证人员规定其职责、权限及其相互关系，以实现公司管理方针和管理目标。</w:t>
            </w:r>
          </w:p>
          <w:p>
            <w:pPr>
              <w:spacing w:line="280" w:lineRule="exact"/>
              <w:ind w:firstLine="420" w:firstLineChars="200"/>
              <w:rPr>
                <w:rFonts w:ascii="宋体" w:hAnsi="宋体" w:cs="宋体"/>
                <w:szCs w:val="21"/>
              </w:rPr>
            </w:pPr>
            <w:r>
              <w:rPr>
                <w:rFonts w:hint="eastAsia" w:ascii="宋体" w:hAnsi="宋体" w:cs="宋体"/>
                <w:szCs w:val="21"/>
              </w:rPr>
              <w:t>负责人：</w:t>
            </w:r>
            <w:r>
              <w:rPr>
                <w:rFonts w:hint="eastAsia" w:ascii="宋体" w:hAnsi="宋体" w:cs="宋体"/>
                <w:szCs w:val="21"/>
                <w:lang w:val="en-US" w:eastAsia="zh-CN"/>
              </w:rPr>
              <w:t>朱晓露</w:t>
            </w:r>
            <w:r>
              <w:rPr>
                <w:rFonts w:hint="eastAsia" w:ascii="宋体" w:hAnsi="宋体" w:cs="宋体"/>
                <w:szCs w:val="21"/>
              </w:rPr>
              <w:t>。在手册中确定了</w:t>
            </w:r>
            <w:r>
              <w:rPr>
                <w:rFonts w:hint="eastAsia" w:ascii="宋体" w:hAnsi="宋体" w:cs="宋体"/>
                <w:szCs w:val="21"/>
                <w:lang w:eastAsia="zh-CN"/>
              </w:rPr>
              <w:t>供销部</w:t>
            </w:r>
            <w:r>
              <w:rPr>
                <w:rFonts w:hint="eastAsia" w:ascii="宋体" w:hAnsi="宋体" w:cs="宋体"/>
                <w:szCs w:val="21"/>
              </w:rPr>
              <w:t>部门的的职能，人员职责、权限和相互关系。</w:t>
            </w:r>
          </w:p>
          <w:p>
            <w:pPr>
              <w:spacing w:line="280" w:lineRule="exact"/>
              <w:ind w:firstLine="420" w:firstLineChars="200"/>
              <w:rPr>
                <w:rFonts w:ascii="宋体" w:hAnsi="宋体" w:cs="宋体"/>
                <w:szCs w:val="21"/>
              </w:rPr>
            </w:pPr>
            <w:r>
              <w:rPr>
                <w:rFonts w:hint="eastAsia" w:ascii="宋体" w:hAnsi="宋体" w:cs="宋体"/>
                <w:szCs w:val="21"/>
              </w:rPr>
              <w:t>询问</w:t>
            </w:r>
            <w:r>
              <w:rPr>
                <w:rFonts w:hint="eastAsia" w:ascii="宋体" w:hAnsi="宋体" w:cs="宋体"/>
                <w:szCs w:val="21"/>
                <w:lang w:eastAsia="zh-CN"/>
              </w:rPr>
              <w:t>供销部</w:t>
            </w:r>
            <w:r>
              <w:rPr>
                <w:rFonts w:hint="eastAsia" w:ascii="宋体" w:hAnsi="宋体" w:cs="宋体"/>
                <w:szCs w:val="21"/>
              </w:rPr>
              <w:t>人员，基本清楚本部门职责。</w:t>
            </w:r>
          </w:p>
          <w:p>
            <w:pPr>
              <w:spacing w:line="280" w:lineRule="exact"/>
              <w:ind w:firstLine="420" w:firstLineChars="200"/>
              <w:rPr>
                <w:rFonts w:ascii="宋体" w:hAnsi="宋体" w:eastAsia="宋体" w:cs="宋体"/>
                <w:kern w:val="2"/>
                <w:sz w:val="21"/>
                <w:szCs w:val="21"/>
                <w:lang w:val="en-US" w:eastAsia="zh-CN" w:bidi="ar-SA"/>
              </w:rPr>
            </w:pPr>
            <w:r>
              <w:rPr>
                <w:rFonts w:hint="eastAsia" w:ascii="宋体" w:hAnsi="宋体" w:cs="宋体"/>
                <w:szCs w:val="21"/>
              </w:rPr>
              <w:t>现有上述管理人员配置满足要求，配有与工作相关的电脑、打/复印机、传真机等设施。</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280" w:lineRule="exact"/>
              <w:rPr>
                <w:rFonts w:ascii="宋体" w:hAnsi="宋体" w:eastAsia="宋体" w:cs="宋体"/>
                <w:kern w:val="2"/>
                <w:sz w:val="21"/>
                <w:szCs w:val="21"/>
                <w:lang w:val="en-US" w:eastAsia="zh-CN" w:bidi="ar-SA"/>
              </w:rPr>
            </w:pPr>
            <w:r>
              <w:rPr>
                <w:rFonts w:hint="eastAsia" w:ascii="宋体" w:hAnsi="宋体" w:cs="宋体"/>
                <w:szCs w:val="21"/>
              </w:rPr>
              <w:t>环境因素识别、危险源识别</w:t>
            </w:r>
          </w:p>
        </w:tc>
        <w:tc>
          <w:tcPr>
            <w:tcW w:w="960" w:type="dxa"/>
            <w:vAlign w:val="top"/>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ascii="宋体" w:hAnsi="宋体" w:eastAsia="宋体" w:cs="宋体"/>
                <w:kern w:val="2"/>
                <w:sz w:val="21"/>
                <w:szCs w:val="21"/>
                <w:lang w:val="en-US" w:eastAsia="zh-CN" w:bidi="ar-SA"/>
              </w:rPr>
            </w:pPr>
            <w:r>
              <w:rPr>
                <w:szCs w:val="21"/>
              </w:rPr>
              <w:t>O</w:t>
            </w:r>
            <w:r>
              <w:rPr>
                <w:rFonts w:ascii="宋体" w:hAnsi="宋体" w:cs="宋体"/>
                <w:szCs w:val="21"/>
              </w:rPr>
              <w:t>6.1.2</w:t>
            </w:r>
          </w:p>
        </w:tc>
        <w:tc>
          <w:tcPr>
            <w:tcW w:w="10004" w:type="dxa"/>
            <w:vAlign w:val="center"/>
          </w:tcPr>
          <w:p>
            <w:pPr>
              <w:spacing w:line="280" w:lineRule="exact"/>
              <w:ind w:firstLine="420" w:firstLineChars="200"/>
              <w:rPr>
                <w:szCs w:val="21"/>
              </w:rPr>
            </w:pPr>
            <w:r>
              <w:rPr>
                <w:rFonts w:hint="eastAsia"/>
                <w:szCs w:val="21"/>
              </w:rPr>
              <w:t>1)提供《环境因素识别与评价管理程序》用以指导进行环境因素的识别、登记评价，以确定重要环境因素以及对环境因素的定期更新，环境因素的识别和确定考虑生命周期观点。</w:t>
            </w:r>
          </w:p>
          <w:p>
            <w:pPr>
              <w:spacing w:line="280" w:lineRule="exact"/>
              <w:ind w:firstLine="420" w:firstLineChars="200"/>
              <w:rPr>
                <w:szCs w:val="21"/>
              </w:rPr>
            </w:pPr>
            <w:r>
              <w:rPr>
                <w:rFonts w:hint="eastAsia"/>
                <w:szCs w:val="21"/>
              </w:rPr>
              <w:t>提供了“环境因素清单”，识别的环境因素标明时态、状态和对环境的影响；经查阅识别出对在办公活动中产生的纸张等消耗、固废排放、生活废水排放、触电、火灾等环境因素及考虑到环境管理体系发生变更时可能产生的环境因素。</w:t>
            </w:r>
          </w:p>
          <w:p>
            <w:pPr>
              <w:spacing w:line="280" w:lineRule="exact"/>
              <w:ind w:firstLine="420" w:firstLineChars="200"/>
              <w:rPr>
                <w:szCs w:val="21"/>
              </w:rPr>
            </w:pPr>
            <w:r>
              <w:rPr>
                <w:rFonts w:hint="eastAsia"/>
                <w:szCs w:val="21"/>
              </w:rPr>
              <w:t>重要环境因素采用经验/直接判断法，由各部门有管理经验的人员共同讨论、采用直接判断的方法确定重要环境因素，提供了“重要环境因素清单”：本部门的重要环境因素：</w:t>
            </w:r>
            <w:r>
              <w:rPr>
                <w:rFonts w:hint="eastAsia" w:ascii="宋体" w:hAnsi="宋体" w:cs="宋体"/>
                <w:szCs w:val="21"/>
              </w:rPr>
              <w:t>噪声排放、固废的废弃、废水排放、废弃排放、火灾发生、潜在火灾、水、电、原材料等消耗</w:t>
            </w:r>
            <w:r>
              <w:rPr>
                <w:rFonts w:hint="eastAsia"/>
                <w:szCs w:val="21"/>
              </w:rPr>
              <w:t>；提供了针对重要环境因素，编的环境目标、指标及管理方案，内容包括：目标、指标、方法及措施、完成日期、资金预算等。</w:t>
            </w:r>
          </w:p>
          <w:p>
            <w:pPr>
              <w:spacing w:line="280" w:lineRule="exact"/>
              <w:ind w:firstLine="420" w:firstLineChars="200"/>
              <w:rPr>
                <w:szCs w:val="21"/>
              </w:rPr>
            </w:pPr>
            <w:r>
              <w:rPr>
                <w:rFonts w:hint="eastAsia"/>
                <w:szCs w:val="21"/>
              </w:rPr>
              <w:t>2）提供了公司制定</w:t>
            </w:r>
            <w:r>
              <w:rPr>
                <w:rFonts w:hint="eastAsia" w:ascii="宋体" w:hAnsi="宋体" w:cs="宋体"/>
                <w:szCs w:val="21"/>
              </w:rPr>
              <w:t>《危险源辨识与风险评价控制措施管理程序》</w:t>
            </w:r>
            <w:r>
              <w:rPr>
                <w:rFonts w:hint="eastAsia"/>
                <w:szCs w:val="21"/>
              </w:rPr>
              <w:t>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rFonts w:hint="eastAsia" w:eastAsia="宋体"/>
                <w:szCs w:val="21"/>
                <w:lang w:val="en-US" w:eastAsia="zh-CN"/>
              </w:rPr>
            </w:pPr>
            <w:r>
              <w:rPr>
                <w:rFonts w:hint="eastAsia"/>
                <w:szCs w:val="21"/>
              </w:rPr>
              <w:t>提供了“危险源辨识和风险评价表”，对活动场所产生的危险源辨识并进行风险评价，以确定控制措施，经查阅已辨识外出交通事故、漏电触电、火灾等意外伤害等危险因素。编制：董敏、罗成、许晓丽 审批：</w:t>
            </w:r>
            <w:r>
              <w:rPr>
                <w:rFonts w:hint="eastAsia"/>
                <w:szCs w:val="21"/>
                <w:lang w:val="en-US" w:eastAsia="zh-CN"/>
              </w:rPr>
              <w:t>崔家赫</w:t>
            </w:r>
            <w:r>
              <w:rPr>
                <w:rFonts w:hint="eastAsia"/>
                <w:szCs w:val="21"/>
              </w:rPr>
              <w:t xml:space="preserve"> 日期：20</w:t>
            </w:r>
            <w:r>
              <w:rPr>
                <w:szCs w:val="21"/>
              </w:rPr>
              <w:t>2</w:t>
            </w:r>
            <w:r>
              <w:rPr>
                <w:rFonts w:hint="eastAsia"/>
                <w:szCs w:val="21"/>
                <w:lang w:val="en-US" w:eastAsia="zh-CN"/>
              </w:rPr>
              <w:t>1</w:t>
            </w:r>
            <w:r>
              <w:rPr>
                <w:szCs w:val="21"/>
              </w:rPr>
              <w:t>.</w:t>
            </w:r>
            <w:r>
              <w:rPr>
                <w:rFonts w:hint="eastAsia"/>
                <w:szCs w:val="21"/>
                <w:lang w:val="en-US" w:eastAsia="zh-CN"/>
              </w:rPr>
              <w:t>5</w:t>
            </w:r>
            <w:r>
              <w:rPr>
                <w:szCs w:val="21"/>
              </w:rPr>
              <w:t>.1</w:t>
            </w:r>
            <w:r>
              <w:rPr>
                <w:rFonts w:hint="eastAsia"/>
                <w:szCs w:val="21"/>
                <w:lang w:val="en-US" w:eastAsia="zh-CN"/>
              </w:rPr>
              <w:t>0</w:t>
            </w:r>
          </w:p>
          <w:p>
            <w:pPr>
              <w:spacing w:line="280" w:lineRule="exact"/>
              <w:ind w:firstLine="420" w:firstLineChars="200"/>
              <w:rPr>
                <w:rFonts w:ascii="Times New Roman" w:hAnsi="Times New Roman" w:eastAsia="宋体" w:cs="Times New Roman"/>
                <w:kern w:val="2"/>
                <w:sz w:val="21"/>
                <w:szCs w:val="21"/>
                <w:lang w:val="en-US" w:eastAsia="zh-CN" w:bidi="ar-SA"/>
              </w:rPr>
            </w:pPr>
            <w:r>
              <w:rPr>
                <w:rFonts w:hint="eastAsia"/>
                <w:szCs w:val="21"/>
              </w:rPr>
              <w:t>由各部门有管理经验的人员共同讨论、采用直接判断的方法确定不可接受风险。提供了“不可接受风险清单”涉及本部门的不可接受风险有：</w:t>
            </w:r>
            <w:r>
              <w:rPr>
                <w:rFonts w:hint="eastAsia" w:ascii="宋体" w:hAnsi="宋体" w:cs="宋体"/>
                <w:szCs w:val="21"/>
              </w:rPr>
              <w:t>触电伤害、机械伤害、火灾事故、粉尘排放</w:t>
            </w:r>
            <w:r>
              <w:rPr>
                <w:rFonts w:hint="eastAsia"/>
                <w:szCs w:val="21"/>
              </w:rPr>
              <w:t>；针对不可接受风险编制了职业健康安全目标、指标及管理方案，内容包括：目标、指标、方法及措施、完成日期、资金预算等。</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440" w:lineRule="exact"/>
              <w:jc w:val="left"/>
              <w:rPr>
                <w:rFonts w:hint="eastAsia" w:ascii="Times New Roman" w:hAnsi="Times New Roman" w:eastAsia="宋体" w:cs="Times New Roman"/>
                <w:kern w:val="2"/>
                <w:sz w:val="24"/>
                <w:szCs w:val="24"/>
                <w:lang w:val="en-US" w:eastAsia="zh-CN" w:bidi="ar-SA"/>
              </w:rPr>
            </w:pPr>
            <w:r>
              <w:rPr>
                <w:rFonts w:hint="eastAsia"/>
                <w:sz w:val="24"/>
                <w:szCs w:val="24"/>
              </w:rPr>
              <w:t>措施的策划</w:t>
            </w:r>
          </w:p>
        </w:tc>
        <w:tc>
          <w:tcPr>
            <w:tcW w:w="960" w:type="dxa"/>
            <w:vAlign w:val="top"/>
          </w:tcPr>
          <w:p>
            <w:pPr>
              <w:spacing w:line="280" w:lineRule="exact"/>
              <w:rPr>
                <w:rFonts w:hint="eastAsia" w:ascii="Times New Roman" w:hAnsi="Times New Roman" w:eastAsia="宋体" w:cs="Times New Roman"/>
                <w:kern w:val="2"/>
                <w:sz w:val="21"/>
                <w:szCs w:val="21"/>
                <w:lang w:val="en-US" w:eastAsia="zh-CN" w:bidi="ar-SA"/>
              </w:rPr>
            </w:pPr>
            <w:r>
              <w:rPr>
                <w:rFonts w:hint="eastAsia"/>
                <w:szCs w:val="21"/>
              </w:rPr>
              <w:t>E</w:t>
            </w:r>
            <w:r>
              <w:rPr>
                <w:szCs w:val="21"/>
              </w:rPr>
              <w:t>O</w:t>
            </w:r>
            <w:r>
              <w:rPr>
                <w:rFonts w:hint="eastAsia"/>
                <w:szCs w:val="21"/>
              </w:rPr>
              <w:t>6.1.4</w:t>
            </w: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kern w:val="0"/>
                <w:szCs w:val="21"/>
              </w:rPr>
              <w:t>在制定环境目标指标时，</w:t>
            </w:r>
            <w:r>
              <w:rPr>
                <w:rFonts w:hint="eastAsia" w:ascii="宋体" w:hAnsi="宋体" w:cs="宋体"/>
                <w:kern w:val="0"/>
                <w:szCs w:val="21"/>
                <w:lang w:val="en-US" w:eastAsia="zh-CN"/>
              </w:rPr>
              <w:t>质检</w:t>
            </w:r>
            <w:r>
              <w:rPr>
                <w:rFonts w:hint="eastAsia" w:ascii="宋体" w:hAnsi="宋体" w:cs="宋体"/>
                <w:szCs w:val="21"/>
                <w:lang w:eastAsia="zh-CN"/>
              </w:rPr>
              <w:t>部</w:t>
            </w:r>
            <w:r>
              <w:rPr>
                <w:rFonts w:hint="eastAsia" w:ascii="宋体" w:hAnsi="宋体" w:cs="宋体"/>
                <w:szCs w:val="21"/>
              </w:rPr>
              <w:t>负责制定环境、职业健康安全目标及管理方案，总经理</w:t>
            </w:r>
            <w:r>
              <w:rPr>
                <w:rFonts w:hint="eastAsia" w:ascii="宋体" w:hAnsi="宋体" w:cs="宋体"/>
                <w:szCs w:val="21"/>
                <w:lang w:val="en-US" w:eastAsia="zh-CN"/>
              </w:rPr>
              <w:t>崔家赫</w:t>
            </w:r>
            <w:r>
              <w:rPr>
                <w:rFonts w:hint="eastAsia" w:ascii="宋体" w:hAnsi="宋体" w:cs="宋体"/>
                <w:szCs w:val="21"/>
              </w:rPr>
              <w:t>负责批准。环境、职业健康安全管理方案中明确为实现环境、职业健康安全目标和指标的责任部门；规定实现环境、职业健康安全目标和指标的时间；具体措施和经费预算；由总经理批准。环境、职业健康安全管理方案的实施，</w:t>
            </w:r>
            <w:r>
              <w:rPr>
                <w:rFonts w:hint="eastAsia" w:ascii="宋体" w:hAnsi="宋体" w:cs="宋体"/>
                <w:szCs w:val="21"/>
                <w:lang w:val="en-US" w:eastAsia="zh-CN"/>
              </w:rPr>
              <w:t>质检部</w:t>
            </w:r>
            <w:r>
              <w:rPr>
                <w:rFonts w:hint="eastAsia" w:ascii="宋体" w:hAnsi="宋体" w:cs="宋体"/>
                <w:szCs w:val="21"/>
              </w:rPr>
              <w:t>每半年对方案实施情况进行检查跟踪，向总经理报告；一般在管理评审之前对环境、职业健康安全目标及管理方案由</w:t>
            </w:r>
            <w:r>
              <w:rPr>
                <w:rFonts w:hint="eastAsia" w:ascii="宋体" w:hAnsi="宋体" w:cs="宋体"/>
                <w:szCs w:val="21"/>
                <w:lang w:val="en-US" w:eastAsia="zh-CN"/>
              </w:rPr>
              <w:t>质检</w:t>
            </w:r>
            <w:r>
              <w:rPr>
                <w:rFonts w:hint="eastAsia" w:ascii="宋体" w:hAnsi="宋体" w:cs="宋体"/>
                <w:szCs w:val="21"/>
                <w:lang w:eastAsia="zh-CN"/>
              </w:rPr>
              <w:t>部</w:t>
            </w:r>
            <w:r>
              <w:rPr>
                <w:rFonts w:hint="eastAsia" w:ascii="宋体" w:hAnsi="宋体" w:cs="宋体"/>
                <w:szCs w:val="21"/>
              </w:rPr>
              <w:t>对其进行评审，并将完成情况以书面形式呈报管理者代表，以便提交管理评审。</w:t>
            </w:r>
          </w:p>
          <w:p>
            <w:pPr>
              <w:spacing w:line="280" w:lineRule="exact"/>
              <w:ind w:firstLine="420" w:firstLineChars="200"/>
              <w:rPr>
                <w:rFonts w:hint="default" w:ascii="宋体" w:hAnsi="宋体" w:eastAsia="宋体" w:cs="宋体"/>
                <w:kern w:val="2"/>
                <w:sz w:val="21"/>
                <w:szCs w:val="21"/>
                <w:lang w:val="en-US" w:eastAsia="zh-CN" w:bidi="ar-SA"/>
              </w:rPr>
            </w:pPr>
            <w:r>
              <w:rPr>
                <w:rFonts w:hint="eastAsia" w:ascii="宋体" w:hAnsi="宋体" w:cs="宋体"/>
                <w:szCs w:val="21"/>
                <w:lang w:val="en-US" w:eastAsia="zh-CN"/>
              </w:rPr>
              <w:t>环境因素和危险源及管理措施由公司质检部统一制定，供销部落实，由质检部统一检查。</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eastAsia="宋体" w:cs="宋体"/>
                <w:kern w:val="2"/>
                <w:sz w:val="21"/>
                <w:szCs w:val="21"/>
                <w:lang w:val="en-US" w:eastAsia="zh-CN" w:bidi="ar-SA"/>
              </w:rPr>
            </w:pPr>
          </w:p>
        </w:tc>
        <w:tc>
          <w:tcPr>
            <w:tcW w:w="0" w:type="auto"/>
            <w:vAlign w:val="top"/>
          </w:tcPr>
          <w:p>
            <w:pPr>
              <w:spacing w:line="280" w:lineRule="exact"/>
              <w:rPr>
                <w:szCs w:val="21"/>
              </w:rPr>
            </w:pPr>
            <w:r>
              <w:rPr>
                <w:rFonts w:hint="eastAsia"/>
                <w:szCs w:val="21"/>
              </w:rPr>
              <w:t>Q6.2</w:t>
            </w:r>
          </w:p>
          <w:p>
            <w:pPr>
              <w:spacing w:line="280" w:lineRule="exact"/>
              <w:rPr>
                <w:rFonts w:ascii="Times New Roman" w:hAnsi="Times New Roman" w:eastAsia="宋体" w:cs="Times New Roman"/>
                <w:kern w:val="2"/>
                <w:sz w:val="21"/>
                <w:szCs w:val="21"/>
                <w:lang w:val="en-US" w:eastAsia="zh-CN" w:bidi="ar-SA"/>
              </w:rPr>
            </w:pPr>
            <w:r>
              <w:rPr>
                <w:rFonts w:hint="eastAsia"/>
                <w:szCs w:val="21"/>
              </w:rPr>
              <w:t>E</w:t>
            </w:r>
            <w:r>
              <w:rPr>
                <w:szCs w:val="21"/>
              </w:rPr>
              <w:t>O</w:t>
            </w:r>
            <w:r>
              <w:rPr>
                <w:rFonts w:hint="eastAsia"/>
                <w:szCs w:val="21"/>
              </w:rPr>
              <w:t>6.2.1</w:t>
            </w:r>
          </w:p>
        </w:tc>
        <w:tc>
          <w:tcPr>
            <w:tcW w:w="0" w:type="auto"/>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ind w:firstLine="420" w:firstLineChars="200"/>
              <w:rPr>
                <w:rFonts w:ascii="宋体" w:hAnsi="宋体" w:cs="宋体"/>
                <w:szCs w:val="21"/>
              </w:rPr>
            </w:pPr>
            <w:r>
              <w:rPr>
                <w:rFonts w:hint="eastAsia" w:ascii="宋体" w:hAnsi="宋体" w:cs="宋体"/>
                <w:szCs w:val="21"/>
                <w:lang w:eastAsia="zh-CN"/>
              </w:rPr>
              <w:t>供销部</w:t>
            </w:r>
            <w:r>
              <w:rPr>
                <w:rFonts w:hint="eastAsia" w:ascii="宋体" w:hAnsi="宋体" w:cs="宋体"/>
                <w:szCs w:val="21"/>
              </w:rPr>
              <w:t>涉及的目标及实现情况是：</w:t>
            </w:r>
          </w:p>
          <w:tbl>
            <w:tblPr>
              <w:tblStyle w:val="10"/>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3132"/>
              <w:gridCol w:w="3373"/>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restart"/>
                  <w:vAlign w:val="center"/>
                </w:tcPr>
                <w:p>
                  <w:pPr>
                    <w:pStyle w:val="5"/>
                    <w:spacing w:before="80" w:beforeLines="20" w:after="80" w:afterLines="20" w:line="320" w:lineRule="exact"/>
                    <w:ind w:left="-105" w:leftChars="-50" w:right="-105" w:rightChars="-5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供销部</w:t>
                  </w:r>
                  <w:r>
                    <w:rPr>
                      <w:rFonts w:hint="eastAsia" w:ascii="宋体" w:hAnsi="宋体" w:eastAsia="宋体" w:cs="宋体"/>
                      <w:color w:val="000000"/>
                      <w:sz w:val="18"/>
                      <w:szCs w:val="18"/>
                    </w:rPr>
                    <w:t>/</w:t>
                  </w:r>
                  <w:r>
                    <w:rPr>
                      <w:rFonts w:hint="eastAsia" w:ascii="宋体" w:hAnsi="宋体" w:cs="宋体"/>
                      <w:color w:val="000000"/>
                      <w:sz w:val="18"/>
                      <w:szCs w:val="18"/>
                      <w:lang w:eastAsia="zh-CN"/>
                    </w:rPr>
                    <w:t>朱晓露</w:t>
                  </w:r>
                </w:p>
              </w:tc>
              <w:tc>
                <w:tcPr>
                  <w:tcW w:w="3132" w:type="dxa"/>
                  <w:vAlign w:val="center"/>
                </w:tcPr>
                <w:p>
                  <w:pPr>
                    <w:rPr>
                      <w:rFonts w:hint="eastAsia" w:ascii="宋体" w:hAnsi="宋体" w:eastAsia="宋体" w:cs="宋体"/>
                      <w:color w:val="000000"/>
                      <w:kern w:val="2"/>
                      <w:sz w:val="18"/>
                      <w:szCs w:val="18"/>
                      <w:lang w:val="en-US" w:eastAsia="zh-CN" w:bidi="ar-SA"/>
                    </w:rPr>
                  </w:pPr>
                  <w:r>
                    <w:rPr>
                      <w:rFonts w:hint="eastAsia" w:ascii="宋体" w:hAnsi="宋体" w:eastAsia="宋体" w:cs="宋体"/>
                      <w:sz w:val="18"/>
                      <w:szCs w:val="18"/>
                    </w:rPr>
                    <w:t>1.物资采购及时率100%</w:t>
                  </w:r>
                </w:p>
              </w:tc>
              <w:tc>
                <w:tcPr>
                  <w:tcW w:w="3373" w:type="dxa"/>
                  <w:vAlign w:val="center"/>
                </w:tcPr>
                <w:p>
                  <w:pPr>
                    <w:pStyle w:val="5"/>
                    <w:spacing w:before="60" w:beforeLines="15" w:after="60" w:afterLines="15" w:line="320" w:lineRule="exact"/>
                    <w:ind w:left="0" w:leftChars="0"/>
                    <w:rPr>
                      <w:rFonts w:hint="eastAsia" w:ascii="宋体" w:hAnsi="宋体" w:eastAsia="宋体" w:cs="宋体"/>
                      <w:color w:val="000000"/>
                      <w:kern w:val="2"/>
                      <w:sz w:val="18"/>
                      <w:szCs w:val="18"/>
                      <w:lang w:val="en-US" w:eastAsia="zh-CN" w:bidi="ar-SA"/>
                    </w:rPr>
                  </w:pPr>
                  <w:r>
                    <w:rPr>
                      <w:rFonts w:hint="eastAsia" w:ascii="宋体" w:hAnsi="宋体" w:eastAsia="宋体" w:cs="宋体"/>
                      <w:sz w:val="18"/>
                      <w:szCs w:val="18"/>
                    </w:rPr>
                    <w:t>及时率</w:t>
                  </w:r>
                  <w:r>
                    <w:rPr>
                      <w:rFonts w:hint="eastAsia" w:ascii="宋体" w:hAnsi="宋体" w:eastAsia="宋体" w:cs="宋体"/>
                      <w:color w:val="000000"/>
                      <w:sz w:val="18"/>
                      <w:szCs w:val="18"/>
                    </w:rPr>
                    <w:t>＝按期到库批次÷总批数×100%</w:t>
                  </w:r>
                </w:p>
              </w:tc>
              <w:tc>
                <w:tcPr>
                  <w:tcW w:w="2447" w:type="dxa"/>
                  <w:vAlign w:val="center"/>
                </w:tcPr>
                <w:p>
                  <w:pPr>
                    <w:pStyle w:val="5"/>
                    <w:spacing w:before="60" w:beforeLines="15" w:after="60" w:afterLines="15" w:line="320" w:lineRule="exact"/>
                    <w:ind w:left="0" w:lef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Pr>
                <w:p>
                  <w:pPr>
                    <w:rPr>
                      <w:rFonts w:hint="eastAsia" w:ascii="宋体" w:hAnsi="宋体" w:eastAsia="宋体" w:cs="宋体"/>
                      <w:sz w:val="18"/>
                      <w:szCs w:val="18"/>
                      <w:vertAlign w:val="baseline"/>
                    </w:rPr>
                  </w:pPr>
                </w:p>
              </w:tc>
              <w:tc>
                <w:tcPr>
                  <w:tcW w:w="3132" w:type="dxa"/>
                  <w:vAlign w:val="center"/>
                </w:tcPr>
                <w:p>
                  <w:pPr>
                    <w:spacing w:line="320" w:lineRule="exac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2.合格供方控制率100%</w:t>
                  </w:r>
                </w:p>
              </w:tc>
              <w:tc>
                <w:tcPr>
                  <w:tcW w:w="3373" w:type="dxa"/>
                  <w:vAlign w:val="center"/>
                </w:tcPr>
                <w:p>
                  <w:pPr>
                    <w:pStyle w:val="5"/>
                    <w:spacing w:before="60" w:beforeLines="15" w:after="60" w:afterLines="15" w:line="320" w:lineRule="exact"/>
                    <w:ind w:left="0" w:left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供应商评定考核</w:t>
                  </w:r>
                </w:p>
              </w:tc>
              <w:tc>
                <w:tcPr>
                  <w:tcW w:w="2447" w:type="dxa"/>
                  <w:vAlign w:val="center"/>
                </w:tcPr>
                <w:p>
                  <w:pPr>
                    <w:pStyle w:val="5"/>
                    <w:spacing w:before="60" w:beforeLines="15" w:after="60" w:afterLines="15" w:line="320" w:lineRule="exact"/>
                    <w:ind w:left="0" w:lef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Pr>
                <w:p>
                  <w:pPr>
                    <w:rPr>
                      <w:rFonts w:hint="eastAsia" w:ascii="宋体" w:hAnsi="宋体" w:eastAsia="宋体" w:cs="宋体"/>
                      <w:sz w:val="18"/>
                      <w:szCs w:val="18"/>
                      <w:vertAlign w:val="baseline"/>
                    </w:rPr>
                  </w:pPr>
                </w:p>
              </w:tc>
              <w:tc>
                <w:tcPr>
                  <w:tcW w:w="3132" w:type="dxa"/>
                  <w:vAlign w:val="center"/>
                </w:tcPr>
                <w:p>
                  <w:pPr>
                    <w:spacing w:line="320" w:lineRule="exac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3.不合格物资的处置及时率100%</w:t>
                  </w:r>
                </w:p>
              </w:tc>
              <w:tc>
                <w:tcPr>
                  <w:tcW w:w="3373" w:type="dxa"/>
                  <w:vAlign w:val="center"/>
                </w:tcPr>
                <w:p>
                  <w:pPr>
                    <w:pStyle w:val="5"/>
                    <w:spacing w:before="60" w:beforeLines="15" w:after="60" w:afterLines="15" w:line="320" w:lineRule="exact"/>
                    <w:ind w:left="0" w:left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及时率＝处置及时数÷处置总数×100%</w:t>
                  </w:r>
                </w:p>
              </w:tc>
              <w:tc>
                <w:tcPr>
                  <w:tcW w:w="2447" w:type="dxa"/>
                  <w:vAlign w:val="center"/>
                </w:tcPr>
                <w:p>
                  <w:pPr>
                    <w:pStyle w:val="5"/>
                    <w:spacing w:before="60" w:beforeLines="15" w:after="60" w:afterLines="15" w:line="320" w:lineRule="exact"/>
                    <w:ind w:left="0" w:lef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Pr>
                <w:p>
                  <w:pPr>
                    <w:rPr>
                      <w:rFonts w:hint="eastAsia" w:ascii="宋体" w:hAnsi="宋体" w:eastAsia="宋体" w:cs="宋体"/>
                      <w:sz w:val="18"/>
                      <w:szCs w:val="18"/>
                      <w:vertAlign w:val="baseline"/>
                    </w:rPr>
                  </w:pPr>
                </w:p>
              </w:tc>
              <w:tc>
                <w:tcPr>
                  <w:tcW w:w="3132" w:type="dxa"/>
                  <w:vAlign w:val="center"/>
                </w:tcPr>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4.关键供方100%施加影响</w:t>
                  </w:r>
                </w:p>
              </w:tc>
              <w:tc>
                <w:tcPr>
                  <w:tcW w:w="3373" w:type="dxa"/>
                  <w:vAlign w:val="center"/>
                </w:tcPr>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施加影响率=检查施加影响数/总数</w:t>
                  </w:r>
                </w:p>
              </w:tc>
              <w:tc>
                <w:tcPr>
                  <w:tcW w:w="0" w:type="auto"/>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Pr>
                <w:p>
                  <w:pPr>
                    <w:rPr>
                      <w:rFonts w:hint="eastAsia" w:ascii="宋体" w:hAnsi="宋体" w:eastAsia="宋体" w:cs="宋体"/>
                      <w:sz w:val="18"/>
                      <w:szCs w:val="18"/>
                      <w:vertAlign w:val="baseline"/>
                    </w:rPr>
                  </w:pPr>
                </w:p>
              </w:tc>
              <w:tc>
                <w:tcPr>
                  <w:tcW w:w="3132" w:type="dxa"/>
                  <w:vAlign w:val="center"/>
                </w:tcPr>
                <w:p>
                  <w:pPr>
                    <w:pStyle w:val="5"/>
                    <w:spacing w:before="60" w:beforeLines="15" w:after="60" w:afterLines="15" w:line="320" w:lineRule="exact"/>
                    <w:ind w:left="0" w:left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5.合同履约率100%</w:t>
                  </w:r>
                </w:p>
              </w:tc>
              <w:tc>
                <w:tcPr>
                  <w:tcW w:w="3373" w:type="dxa"/>
                  <w:vAlign w:val="center"/>
                </w:tcPr>
                <w:p>
                  <w:pPr>
                    <w:pStyle w:val="5"/>
                    <w:spacing w:before="60" w:beforeLines="15" w:after="60" w:afterLines="15" w:line="320" w:lineRule="exact"/>
                    <w:ind w:left="0" w:left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履约率＝履约总数÷合同总数×100%</w:t>
                  </w:r>
                </w:p>
              </w:tc>
              <w:tc>
                <w:tcPr>
                  <w:tcW w:w="0" w:type="auto"/>
                  <w:vAlign w:val="center"/>
                </w:tcPr>
                <w:p>
                  <w:pPr>
                    <w:pStyle w:val="5"/>
                    <w:spacing w:before="60" w:beforeLines="15" w:after="60" w:afterLines="15" w:line="320" w:lineRule="exact"/>
                    <w:ind w:left="0" w:lef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Pr>
                <w:p>
                  <w:pPr>
                    <w:rPr>
                      <w:rFonts w:hint="eastAsia" w:ascii="宋体" w:hAnsi="宋体" w:eastAsia="宋体" w:cs="宋体"/>
                      <w:sz w:val="18"/>
                      <w:szCs w:val="18"/>
                      <w:vertAlign w:val="baseline"/>
                    </w:rPr>
                  </w:pPr>
                </w:p>
              </w:tc>
              <w:tc>
                <w:tcPr>
                  <w:tcW w:w="3132" w:type="dxa"/>
                  <w:vAlign w:val="center"/>
                </w:tcPr>
                <w:p>
                  <w:pPr>
                    <w:pStyle w:val="5"/>
                    <w:spacing w:before="60" w:beforeLines="15" w:after="60" w:afterLines="15" w:line="320" w:lineRule="exact"/>
                    <w:ind w:left="0" w:left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6.顾客投诉处理及时率≥99%</w:t>
                  </w:r>
                </w:p>
              </w:tc>
              <w:tc>
                <w:tcPr>
                  <w:tcW w:w="3373" w:type="dxa"/>
                  <w:vAlign w:val="center"/>
                </w:tcPr>
                <w:p>
                  <w:pPr>
                    <w:pStyle w:val="5"/>
                    <w:spacing w:before="60" w:beforeLines="15" w:after="60" w:afterLines="15" w:line="320" w:lineRule="exact"/>
                    <w:ind w:left="0" w:left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有效投诉处理率＝有效投诉处理数÷顾客有效投诉总数×100%</w:t>
                  </w:r>
                </w:p>
              </w:tc>
              <w:tc>
                <w:tcPr>
                  <w:tcW w:w="0" w:type="auto"/>
                  <w:vAlign w:val="center"/>
                </w:tcPr>
                <w:p>
                  <w:pPr>
                    <w:pStyle w:val="5"/>
                    <w:spacing w:before="60" w:beforeLines="15" w:after="60" w:afterLines="15" w:line="320" w:lineRule="exact"/>
                    <w:ind w:left="0" w:lef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pPr>
                    <w:rPr>
                      <w:rFonts w:hint="eastAsia" w:ascii="宋体" w:hAnsi="宋体" w:eastAsia="宋体" w:cs="宋体"/>
                      <w:sz w:val="18"/>
                      <w:szCs w:val="18"/>
                      <w:vertAlign w:val="baseline"/>
                    </w:rPr>
                  </w:pPr>
                </w:p>
              </w:tc>
              <w:tc>
                <w:tcPr>
                  <w:tcW w:w="3132" w:type="dxa"/>
                  <w:vAlign w:val="center"/>
                </w:tcPr>
                <w:p>
                  <w:pPr>
                    <w:spacing w:line="440" w:lineRule="exac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w:t>
                  </w:r>
                  <w:r>
                    <w:rPr>
                      <w:rFonts w:hint="eastAsia" w:ascii="宋体" w:hAnsi="宋体" w:eastAsia="宋体" w:cs="宋体"/>
                      <w:sz w:val="18"/>
                      <w:szCs w:val="18"/>
                    </w:rPr>
                    <w:t>顾客满意度≥90%</w:t>
                  </w:r>
                </w:p>
              </w:tc>
              <w:tc>
                <w:tcPr>
                  <w:tcW w:w="3373" w:type="dxa"/>
                  <w:vAlign w:val="center"/>
                </w:tcPr>
                <w:p>
                  <w:pPr>
                    <w:pStyle w:val="5"/>
                    <w:spacing w:before="60" w:beforeLines="15" w:after="60" w:afterLines="15" w:line="320" w:lineRule="exact"/>
                    <w:ind w:left="0" w:left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满意率＝顾客满意分数总数÷总分数×100%</w:t>
                  </w:r>
                </w:p>
              </w:tc>
              <w:tc>
                <w:tcPr>
                  <w:tcW w:w="0" w:type="auto"/>
                  <w:vAlign w:val="center"/>
                </w:tcPr>
                <w:p>
                  <w:pPr>
                    <w:pStyle w:val="5"/>
                    <w:spacing w:before="60" w:beforeLines="15" w:after="60" w:afterLines="15" w:line="320" w:lineRule="exact"/>
                    <w:ind w:left="0" w:leftChars="0"/>
                    <w:jc w:val="center"/>
                    <w:rPr>
                      <w:rFonts w:hint="eastAsia" w:ascii="宋体" w:hAnsi="宋体" w:eastAsia="宋体" w:cs="宋体"/>
                      <w:kern w:val="2"/>
                      <w:sz w:val="18"/>
                      <w:szCs w:val="18"/>
                      <w:lang w:val="en-US" w:eastAsia="zh-CN" w:bidi="ar-SA"/>
                    </w:rPr>
                  </w:pPr>
                  <w:r>
                    <w:rPr>
                      <w:rFonts w:hint="eastAsia" w:ascii="宋体" w:hAnsi="宋体" w:eastAsia="宋体" w:cs="宋体"/>
                      <w:bCs/>
                      <w:sz w:val="18"/>
                      <w:szCs w:val="18"/>
                    </w:rPr>
                    <w:t>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pPr>
                    <w:rPr>
                      <w:rFonts w:hint="eastAsia" w:ascii="宋体" w:hAnsi="宋体" w:eastAsia="宋体" w:cs="宋体"/>
                      <w:sz w:val="18"/>
                      <w:szCs w:val="18"/>
                      <w:vertAlign w:val="baseline"/>
                    </w:rPr>
                  </w:pPr>
                </w:p>
              </w:tc>
              <w:tc>
                <w:tcPr>
                  <w:tcW w:w="3132" w:type="dxa"/>
                  <w:vAlign w:val="center"/>
                </w:tcPr>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8.各类废弃物按规定分类处置率100%</w:t>
                  </w:r>
                </w:p>
              </w:tc>
              <w:tc>
                <w:tcPr>
                  <w:tcW w:w="3373" w:type="dxa"/>
                  <w:vAlign w:val="center"/>
                </w:tcPr>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处置率=检查合格次数/总次数</w:t>
                  </w:r>
                </w:p>
              </w:tc>
              <w:tc>
                <w:tcPr>
                  <w:tcW w:w="0" w:type="auto"/>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pPr>
                    <w:rPr>
                      <w:rFonts w:hint="eastAsia" w:ascii="宋体" w:hAnsi="宋体" w:eastAsia="宋体" w:cs="宋体"/>
                      <w:sz w:val="18"/>
                      <w:szCs w:val="18"/>
                      <w:vertAlign w:val="baseline"/>
                    </w:rPr>
                  </w:pPr>
                </w:p>
              </w:tc>
              <w:tc>
                <w:tcPr>
                  <w:tcW w:w="3132" w:type="dxa"/>
                  <w:vAlign w:val="center"/>
                </w:tcPr>
                <w:p>
                  <w:pPr>
                    <w:spacing w:line="360" w:lineRule="auto"/>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9.重大安全事故发生率为0</w:t>
                  </w:r>
                </w:p>
              </w:tc>
              <w:tc>
                <w:tcPr>
                  <w:tcW w:w="3373" w:type="dxa"/>
                  <w:vAlign w:val="center"/>
                </w:tcPr>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检查</w:t>
                  </w:r>
                </w:p>
              </w:tc>
              <w:tc>
                <w:tcPr>
                  <w:tcW w:w="0" w:type="auto"/>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0</w:t>
                  </w:r>
                </w:p>
              </w:tc>
            </w:tr>
          </w:tbl>
          <w:p>
            <w:pPr>
              <w:ind w:firstLine="420" w:firstLineChars="200"/>
              <w:rPr>
                <w:rFonts w:ascii="宋体" w:hAnsi="宋体" w:cs="宋体"/>
                <w:szCs w:val="21"/>
              </w:rPr>
            </w:pPr>
          </w:p>
          <w:p>
            <w:pPr>
              <w:ind w:firstLine="420" w:firstLineChars="200"/>
              <w:rPr>
                <w:rFonts w:ascii="宋体" w:hAnsi="宋体" w:eastAsia="宋体" w:cs="宋体"/>
                <w:kern w:val="2"/>
                <w:sz w:val="21"/>
                <w:szCs w:val="21"/>
                <w:lang w:val="en-US" w:eastAsia="zh-CN" w:bidi="ar-SA"/>
              </w:rPr>
            </w:pPr>
            <w:r>
              <w:rPr>
                <w:rFonts w:hint="eastAsia" w:ascii="宋体" w:hAnsi="宋体" w:cs="宋体"/>
                <w:szCs w:val="21"/>
              </w:rPr>
              <w:t xml:space="preserve">目标可测量，与公司管理方针一致。有实施落实的方案， </w:t>
            </w:r>
            <w:r>
              <w:rPr>
                <w:rFonts w:hint="eastAsia" w:ascii="宋体" w:hAnsi="宋体" w:cs="宋体"/>
                <w:szCs w:val="21"/>
                <w:lang w:val="en-US" w:eastAsia="zh-CN"/>
              </w:rPr>
              <w:t>从提供的2021年6-12月</w:t>
            </w:r>
            <w:r>
              <w:rPr>
                <w:rFonts w:hint="eastAsia" w:ascii="宋体" w:hAnsi="宋体" w:cs="宋体"/>
                <w:szCs w:val="21"/>
              </w:rPr>
              <w:t>统计结果，目标均已完成。</w:t>
            </w:r>
          </w:p>
        </w:tc>
        <w:tc>
          <w:tcPr>
            <w:tcW w:w="0" w:type="auto"/>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0" w:type="auto"/>
            <w:vAlign w:val="top"/>
          </w:tcPr>
          <w:p>
            <w:pPr>
              <w:spacing w:line="280" w:lineRule="exact"/>
              <w:rPr>
                <w:rFonts w:ascii="宋体" w:hAnsi="宋体" w:eastAsia="宋体" w:cs="宋体"/>
                <w:kern w:val="2"/>
                <w:sz w:val="21"/>
                <w:szCs w:val="21"/>
                <w:lang w:val="en-US" w:eastAsia="zh-CN" w:bidi="ar-SA"/>
              </w:rPr>
            </w:pPr>
            <w:r>
              <w:rPr>
                <w:rFonts w:hint="eastAsia" w:ascii="宋体" w:hAnsi="宋体" w:cs="宋体"/>
                <w:szCs w:val="21"/>
              </w:rPr>
              <w:t>环境/职业健康安全目标实现措施策划</w:t>
            </w:r>
          </w:p>
        </w:tc>
        <w:tc>
          <w:tcPr>
            <w:tcW w:w="0" w:type="auto"/>
            <w:vAlign w:val="top"/>
          </w:tcPr>
          <w:p>
            <w:pPr>
              <w:spacing w:line="280" w:lineRule="exact"/>
              <w:rPr>
                <w:rFonts w:ascii="Times New Roman" w:hAnsi="Times New Roman" w:eastAsia="宋体" w:cs="Times New Roman"/>
                <w:kern w:val="2"/>
                <w:sz w:val="21"/>
                <w:szCs w:val="21"/>
                <w:lang w:val="en-US" w:eastAsia="zh-CN" w:bidi="ar-SA"/>
              </w:rPr>
            </w:pPr>
            <w:r>
              <w:rPr>
                <w:rFonts w:hint="eastAsia"/>
                <w:szCs w:val="21"/>
              </w:rPr>
              <w:t>6.2.2</w:t>
            </w:r>
          </w:p>
        </w:tc>
        <w:tc>
          <w:tcPr>
            <w:tcW w:w="0" w:type="auto"/>
            <w:vAlign w:val="center"/>
          </w:tcPr>
          <w:p>
            <w:pPr>
              <w:ind w:firstLine="420" w:firstLineChars="200"/>
              <w:rPr>
                <w:rFonts w:ascii="宋体" w:hAnsi="宋体" w:eastAsia="宋体" w:cs="宋体"/>
                <w:kern w:val="2"/>
                <w:sz w:val="21"/>
                <w:szCs w:val="21"/>
                <w:lang w:val="en-US" w:eastAsia="zh-CN" w:bidi="ar-SA"/>
              </w:rPr>
            </w:pPr>
            <w:r>
              <w:rPr>
                <w:rFonts w:hint="eastAsia"/>
                <w:szCs w:val="21"/>
              </w:rPr>
              <w:t>按</w:t>
            </w:r>
            <w:r>
              <w:rPr>
                <w:rFonts w:hint="eastAsia" w:ascii="宋体" w:hAnsi="宋体" w:cs="宋体"/>
                <w:szCs w:val="21"/>
              </w:rPr>
              <w:t>《环境因素识别和评价管理程序》和《危险源辨识与风险评价控制措施管理程序》</w:t>
            </w:r>
            <w:r>
              <w:rPr>
                <w:rFonts w:hint="eastAsia"/>
                <w:szCs w:val="21"/>
              </w:rPr>
              <w:t>识别的重要环境因素和重大危险制定管理措施，制定</w:t>
            </w:r>
            <w:r>
              <w:rPr>
                <w:rFonts w:hint="eastAsia" w:ascii="宋体" w:hAnsi="宋体" w:cs="宋体"/>
                <w:szCs w:val="21"/>
              </w:rPr>
              <w:t>《对相关方施加影响管理程序》等文件；由</w:t>
            </w:r>
            <w:r>
              <w:rPr>
                <w:rFonts w:hint="eastAsia" w:ascii="宋体" w:hAnsi="宋体" w:cs="宋体"/>
                <w:szCs w:val="21"/>
                <w:lang w:val="en-US" w:eastAsia="zh-CN"/>
              </w:rPr>
              <w:t>行政</w:t>
            </w:r>
            <w:r>
              <w:rPr>
                <w:rFonts w:hint="eastAsia" w:ascii="宋体" w:hAnsi="宋体" w:cs="宋体"/>
                <w:szCs w:val="21"/>
                <w:lang w:eastAsia="zh-CN"/>
              </w:rPr>
              <w:t>部</w:t>
            </w:r>
            <w:r>
              <w:rPr>
                <w:rFonts w:hint="eastAsia" w:ascii="宋体" w:hAnsi="宋体" w:cs="宋体"/>
                <w:szCs w:val="21"/>
              </w:rPr>
              <w:t>统一管理。基本不涉及重大法规要求的不可接受的环境和安全风险。未制定针对性的管理措施和方案。</w:t>
            </w:r>
          </w:p>
        </w:tc>
        <w:tc>
          <w:tcPr>
            <w:tcW w:w="0" w:type="auto"/>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280" w:lineRule="exact"/>
              <w:rPr>
                <w:szCs w:val="21"/>
              </w:rPr>
            </w:pPr>
            <w:r>
              <w:rPr>
                <w:rFonts w:hint="eastAsia"/>
                <w:szCs w:val="21"/>
              </w:rPr>
              <w:t>运行策划和控制</w:t>
            </w:r>
          </w:p>
          <w:p>
            <w:pPr>
              <w:spacing w:line="280" w:lineRule="exact"/>
              <w:rPr>
                <w:rFonts w:ascii="Times New Roman" w:hAnsi="Times New Roman" w:eastAsia="宋体" w:cs="Times New Roman"/>
                <w:b/>
                <w:kern w:val="2"/>
                <w:sz w:val="21"/>
                <w:szCs w:val="21"/>
                <w:lang w:val="en-US" w:eastAsia="zh-CN" w:bidi="ar-SA"/>
              </w:rPr>
            </w:pPr>
          </w:p>
        </w:tc>
        <w:tc>
          <w:tcPr>
            <w:tcW w:w="0" w:type="auto"/>
            <w:vAlign w:val="top"/>
          </w:tcPr>
          <w:p>
            <w:pPr>
              <w:spacing w:line="280" w:lineRule="exact"/>
              <w:rPr>
                <w:rFonts w:ascii="Times New Roman" w:hAnsi="Times New Roman" w:eastAsia="宋体" w:cs="Times New Roman"/>
                <w:b/>
                <w:kern w:val="2"/>
                <w:sz w:val="21"/>
                <w:szCs w:val="21"/>
                <w:lang w:val="en-US" w:eastAsia="zh-CN" w:bidi="ar-SA"/>
              </w:rPr>
            </w:pPr>
            <w:r>
              <w:rPr>
                <w:rFonts w:hint="eastAsia"/>
                <w:szCs w:val="21"/>
              </w:rPr>
              <w:t>E</w:t>
            </w:r>
            <w:r>
              <w:rPr>
                <w:szCs w:val="21"/>
              </w:rPr>
              <w:t>O</w:t>
            </w:r>
            <w:r>
              <w:rPr>
                <w:rFonts w:hint="eastAsia"/>
                <w:szCs w:val="21"/>
              </w:rPr>
              <w:t>8.1</w:t>
            </w:r>
          </w:p>
        </w:tc>
        <w:tc>
          <w:tcPr>
            <w:tcW w:w="0" w:type="auto"/>
            <w:vAlign w:val="center"/>
          </w:tcPr>
          <w:p>
            <w:pPr>
              <w:spacing w:line="280" w:lineRule="exact"/>
              <w:ind w:firstLine="420" w:firstLineChars="200"/>
              <w:rPr>
                <w:szCs w:val="21"/>
              </w:rPr>
            </w:pPr>
            <w:r>
              <w:rPr>
                <w:rFonts w:hint="eastAsia"/>
                <w:szCs w:val="21"/>
              </w:rPr>
              <w:t>编制与环境、安全管理体系运行控制有关的文件有《环境因素识别与评价管理程序》、《危险源辨识与风险评价控制措施管理程序》、《对相关方施加影响管理程序》等。</w:t>
            </w:r>
          </w:p>
          <w:p>
            <w:pPr>
              <w:spacing w:line="280" w:lineRule="exact"/>
              <w:ind w:firstLine="420" w:firstLineChars="200"/>
              <w:rPr>
                <w:rFonts w:hint="default" w:eastAsia="宋体"/>
                <w:szCs w:val="21"/>
                <w:lang w:val="en-US" w:eastAsia="zh-CN"/>
              </w:rPr>
            </w:pPr>
            <w:r>
              <w:rPr>
                <w:rFonts w:hint="eastAsia"/>
                <w:szCs w:val="21"/>
              </w:rPr>
              <w:t>1、</w:t>
            </w:r>
            <w:r>
              <w:rPr>
                <w:rFonts w:hint="eastAsia"/>
                <w:szCs w:val="21"/>
                <w:lang w:val="en-US" w:eastAsia="zh-CN"/>
              </w:rPr>
              <w:t>客户单位告知内容</w:t>
            </w:r>
          </w:p>
          <w:p>
            <w:pPr>
              <w:spacing w:line="280" w:lineRule="exact"/>
              <w:ind w:firstLine="420" w:firstLineChars="200"/>
              <w:rPr>
                <w:szCs w:val="21"/>
              </w:rPr>
            </w:pPr>
            <w:r>
              <w:rPr>
                <w:rFonts w:hint="eastAsia"/>
                <w:szCs w:val="21"/>
                <w:lang w:val="en-US" w:eastAsia="zh-CN"/>
              </w:rPr>
              <w:t>产品使用说明书中列入环境因素和安全性告知内容，采购油漆，供方提供化学品安全使用说明书，采购耳塞、防护服等劳保用品时，未向供方索要检测报告</w:t>
            </w:r>
            <w:r>
              <w:rPr>
                <w:rFonts w:hint="eastAsia"/>
                <w:szCs w:val="21"/>
              </w:rPr>
              <w:t>。</w:t>
            </w:r>
          </w:p>
          <w:p>
            <w:pPr>
              <w:spacing w:line="280" w:lineRule="exact"/>
              <w:ind w:firstLine="420" w:firstLineChars="200"/>
              <w:rPr>
                <w:rFonts w:hint="default" w:eastAsia="宋体"/>
                <w:szCs w:val="21"/>
                <w:lang w:val="en-US" w:eastAsia="zh-CN"/>
              </w:rPr>
            </w:pPr>
            <w:r>
              <w:rPr>
                <w:rFonts w:hint="eastAsia"/>
                <w:szCs w:val="21"/>
              </w:rPr>
              <w:t>2、</w:t>
            </w:r>
            <w:r>
              <w:rPr>
                <w:rFonts w:hint="eastAsia"/>
                <w:szCs w:val="21"/>
                <w:lang w:val="en-US" w:eastAsia="zh-CN"/>
              </w:rPr>
              <w:t>办公场所环境因素和危险因素管理</w:t>
            </w:r>
          </w:p>
          <w:p>
            <w:pPr>
              <w:spacing w:line="280" w:lineRule="exact"/>
              <w:ind w:firstLine="420" w:firstLineChars="200"/>
              <w:rPr>
                <w:szCs w:val="21"/>
              </w:rPr>
            </w:pPr>
            <w:r>
              <w:rPr>
                <w:rFonts w:hint="eastAsia"/>
                <w:szCs w:val="21"/>
              </w:rPr>
              <w:t>办公现场</w:t>
            </w:r>
            <w:r>
              <w:rPr>
                <w:rFonts w:hint="eastAsia"/>
                <w:szCs w:val="21"/>
                <w:lang w:val="en-US" w:eastAsia="zh-CN"/>
              </w:rPr>
              <w:t>按行政部统一规定执行，垃圾分类处理、办公固废由行政部统一处置、用电和消防安全由人事行政部统一检查</w:t>
            </w:r>
            <w:r>
              <w:rPr>
                <w:rFonts w:hint="eastAsia"/>
                <w:szCs w:val="21"/>
              </w:rPr>
              <w:t>。</w:t>
            </w:r>
          </w:p>
          <w:p>
            <w:pPr>
              <w:spacing w:line="280" w:lineRule="exact"/>
              <w:ind w:firstLine="420" w:firstLineChars="200"/>
              <w:rPr>
                <w:szCs w:val="21"/>
              </w:rPr>
            </w:pPr>
            <w:r>
              <w:rPr>
                <w:rFonts w:hint="eastAsia"/>
                <w:szCs w:val="21"/>
              </w:rPr>
              <w:t>3、能源资源管控</w:t>
            </w:r>
          </w:p>
          <w:p>
            <w:pPr>
              <w:spacing w:line="280" w:lineRule="exact"/>
              <w:ind w:firstLine="420" w:firstLineChars="200"/>
              <w:rPr>
                <w:szCs w:val="21"/>
              </w:rPr>
            </w:pPr>
            <w:r>
              <w:rPr>
                <w:rFonts w:hint="eastAsia"/>
                <w:szCs w:val="21"/>
              </w:rPr>
              <w:t>销售过程注意节水、节电、节油，人走关闭开关，未发现有漏水和浪费电能的现象。</w:t>
            </w:r>
          </w:p>
          <w:p>
            <w:pPr>
              <w:spacing w:line="280" w:lineRule="exact"/>
              <w:ind w:firstLine="420" w:firstLineChars="200"/>
              <w:rPr>
                <w:szCs w:val="21"/>
              </w:rPr>
            </w:pPr>
            <w:r>
              <w:rPr>
                <w:rFonts w:hint="eastAsia"/>
                <w:szCs w:val="21"/>
                <w:lang w:val="en-US" w:eastAsia="zh-CN"/>
              </w:rPr>
              <w:t>4</w:t>
            </w:r>
            <w:r>
              <w:rPr>
                <w:rFonts w:hint="eastAsia"/>
                <w:szCs w:val="21"/>
              </w:rPr>
              <w:t>、潜在火灾管控</w:t>
            </w:r>
          </w:p>
          <w:p>
            <w:pPr>
              <w:spacing w:line="280" w:lineRule="exact"/>
              <w:ind w:firstLine="420" w:firstLineChars="200"/>
              <w:rPr>
                <w:szCs w:val="21"/>
              </w:rPr>
            </w:pPr>
            <w:r>
              <w:rPr>
                <w:rFonts w:hint="eastAsia"/>
                <w:szCs w:val="21"/>
              </w:rPr>
              <w:t>公司现场配有灭火器和应急预案。</w:t>
            </w:r>
          </w:p>
          <w:p>
            <w:pPr>
              <w:numPr>
                <w:ilvl w:val="0"/>
                <w:numId w:val="1"/>
              </w:numPr>
              <w:spacing w:line="280" w:lineRule="exact"/>
              <w:ind w:firstLine="420" w:firstLineChars="200"/>
              <w:rPr>
                <w:rFonts w:hint="eastAsia"/>
                <w:szCs w:val="21"/>
              </w:rPr>
            </w:pPr>
            <w:r>
              <w:rPr>
                <w:rFonts w:hint="eastAsia"/>
                <w:szCs w:val="21"/>
              </w:rPr>
              <w:t>安全防护</w:t>
            </w:r>
          </w:p>
          <w:p>
            <w:pPr>
              <w:numPr>
                <w:ilvl w:val="0"/>
                <w:numId w:val="0"/>
              </w:numPr>
              <w:spacing w:line="280" w:lineRule="exact"/>
              <w:rPr>
                <w:rFonts w:hint="default" w:eastAsia="宋体"/>
                <w:szCs w:val="21"/>
                <w:lang w:val="en-US" w:eastAsia="zh-CN"/>
              </w:rPr>
            </w:pPr>
            <w:r>
              <w:rPr>
                <w:rFonts w:hint="eastAsia"/>
                <w:szCs w:val="21"/>
                <w:lang w:val="en-US" w:eastAsia="zh-CN"/>
              </w:rPr>
              <w:t xml:space="preserve">    高温外出，配置防暑药品。</w:t>
            </w:r>
          </w:p>
          <w:p>
            <w:pPr>
              <w:spacing w:line="280" w:lineRule="exact"/>
              <w:ind w:firstLine="420" w:firstLineChars="200"/>
              <w:rPr>
                <w:rFonts w:ascii="Times New Roman" w:hAnsi="Times New Roman" w:eastAsia="宋体" w:cs="Times New Roman"/>
                <w:kern w:val="2"/>
                <w:sz w:val="21"/>
                <w:szCs w:val="21"/>
                <w:lang w:val="en-US" w:eastAsia="zh-CN" w:bidi="ar-SA"/>
              </w:rPr>
            </w:pPr>
            <w:r>
              <w:rPr>
                <w:rFonts w:hint="eastAsia"/>
                <w:szCs w:val="21"/>
              </w:rPr>
              <w:t>疫情期间进出公司人员进行温度登记，查看健康码，公司给员工发放口罩等劳保用品，不允许私拉乱扔。</w:t>
            </w:r>
          </w:p>
        </w:tc>
        <w:tc>
          <w:tcPr>
            <w:tcW w:w="0" w:type="auto"/>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280" w:lineRule="exact"/>
              <w:rPr>
                <w:rFonts w:ascii="Times New Roman" w:hAnsi="Times New Roman" w:eastAsia="宋体" w:cs="Times New Roman"/>
                <w:b/>
                <w:kern w:val="2"/>
                <w:sz w:val="21"/>
                <w:szCs w:val="21"/>
                <w:lang w:val="en-US" w:eastAsia="zh-CN" w:bidi="ar-SA"/>
              </w:rPr>
            </w:pPr>
            <w:r>
              <w:rPr>
                <w:rFonts w:hint="eastAsia" w:ascii="宋体" w:hAnsi="宋体" w:cs="宋体"/>
                <w:szCs w:val="21"/>
              </w:rPr>
              <w:t>应急响应和准备</w:t>
            </w:r>
          </w:p>
        </w:tc>
        <w:tc>
          <w:tcPr>
            <w:tcW w:w="0" w:type="auto"/>
            <w:vAlign w:val="top"/>
          </w:tcPr>
          <w:p>
            <w:pPr>
              <w:spacing w:line="280" w:lineRule="exact"/>
              <w:rPr>
                <w:rFonts w:ascii="Times New Roman" w:hAnsi="Times New Roman" w:eastAsia="宋体" w:cs="Times New Roman"/>
                <w:kern w:val="2"/>
                <w:sz w:val="21"/>
                <w:szCs w:val="21"/>
                <w:lang w:val="en-US" w:eastAsia="zh-CN" w:bidi="ar-SA"/>
              </w:rPr>
            </w:pPr>
            <w:r>
              <w:rPr>
                <w:rFonts w:hint="eastAsia"/>
                <w:szCs w:val="21"/>
              </w:rPr>
              <w:t>E</w:t>
            </w:r>
            <w:r>
              <w:rPr>
                <w:szCs w:val="21"/>
              </w:rPr>
              <w:t>O</w:t>
            </w:r>
            <w:r>
              <w:rPr>
                <w:rFonts w:hint="eastAsia"/>
                <w:szCs w:val="21"/>
              </w:rPr>
              <w:t>8.2</w:t>
            </w:r>
          </w:p>
        </w:tc>
        <w:tc>
          <w:tcPr>
            <w:tcW w:w="0" w:type="auto"/>
            <w:vAlign w:val="center"/>
          </w:tcPr>
          <w:p>
            <w:pPr>
              <w:pStyle w:val="16"/>
              <w:spacing w:line="280" w:lineRule="exact"/>
              <w:rPr>
                <w:sz w:val="21"/>
                <w:szCs w:val="21"/>
              </w:rPr>
            </w:pPr>
            <w:r>
              <w:rPr>
                <w:rFonts w:hint="eastAsia"/>
                <w:sz w:val="21"/>
                <w:szCs w:val="21"/>
              </w:rPr>
              <w:t>编制了《应急准备和响应管理程序》，查看内容基本符合要求。</w:t>
            </w:r>
          </w:p>
          <w:p>
            <w:pPr>
              <w:pStyle w:val="16"/>
              <w:spacing w:line="280" w:lineRule="exact"/>
              <w:ind w:firstLineChars="0"/>
              <w:rPr>
                <w:sz w:val="21"/>
                <w:szCs w:val="21"/>
              </w:rPr>
            </w:pPr>
            <w:r>
              <w:rPr>
                <w:rFonts w:hint="eastAsia"/>
                <w:sz w:val="21"/>
                <w:szCs w:val="21"/>
              </w:rPr>
              <w:t>策划了应急预案包括触电、火灾、中暑等应急预案。</w:t>
            </w:r>
          </w:p>
          <w:p>
            <w:pPr>
              <w:pStyle w:val="16"/>
              <w:spacing w:line="280" w:lineRule="exact"/>
              <w:ind w:firstLineChars="0"/>
              <w:rPr>
                <w:sz w:val="21"/>
                <w:szCs w:val="21"/>
              </w:rPr>
            </w:pPr>
            <w:r>
              <w:rPr>
                <w:rFonts w:hint="eastAsia"/>
                <w:sz w:val="21"/>
                <w:szCs w:val="21"/>
              </w:rPr>
              <w:t>查应急预案评估报告，通过以上评估，公司应急预案的制定基本合理。</w:t>
            </w:r>
          </w:p>
          <w:p>
            <w:pPr>
              <w:pStyle w:val="16"/>
              <w:spacing w:line="280" w:lineRule="exact"/>
              <w:ind w:firstLineChars="0"/>
              <w:rPr>
                <w:sz w:val="21"/>
                <w:szCs w:val="21"/>
              </w:rPr>
            </w:pPr>
            <w:r>
              <w:rPr>
                <w:rFonts w:hint="eastAsia"/>
                <w:sz w:val="21"/>
                <w:szCs w:val="21"/>
                <w:lang w:val="en-US" w:eastAsia="zh-CN"/>
              </w:rPr>
              <w:t>参加</w:t>
            </w:r>
            <w:r>
              <w:rPr>
                <w:rFonts w:hint="eastAsia"/>
                <w:sz w:val="21"/>
                <w:szCs w:val="21"/>
              </w:rPr>
              <w:t>公司</w:t>
            </w:r>
            <w:r>
              <w:rPr>
                <w:rFonts w:hint="eastAsia"/>
                <w:sz w:val="21"/>
                <w:szCs w:val="21"/>
                <w:lang w:val="en-US" w:eastAsia="zh-CN"/>
              </w:rPr>
              <w:t>举行的</w:t>
            </w:r>
            <w:r>
              <w:rPr>
                <w:rFonts w:hint="eastAsia"/>
                <w:sz w:val="21"/>
                <w:szCs w:val="21"/>
              </w:rPr>
              <w:t>消防灭火演练，查应急演练记录。</w:t>
            </w:r>
          </w:p>
          <w:p>
            <w:pPr>
              <w:spacing w:line="280" w:lineRule="exact"/>
              <w:ind w:firstLine="420" w:firstLineChars="200"/>
              <w:rPr>
                <w:rFonts w:ascii="Calibri" w:hAnsi="Calibri" w:eastAsia="宋体" w:cs="Times New Roman"/>
                <w:kern w:val="2"/>
                <w:sz w:val="21"/>
                <w:szCs w:val="21"/>
                <w:lang w:val="en-US" w:eastAsia="zh-CN" w:bidi="ar-SA"/>
              </w:rPr>
            </w:pPr>
            <w:r>
              <w:rPr>
                <w:rFonts w:hint="eastAsia" w:ascii="Calibri" w:hAnsi="Calibri"/>
                <w:szCs w:val="21"/>
              </w:rPr>
              <w:t>查消防灭火演练，演练时间2021年</w:t>
            </w:r>
            <w:r>
              <w:rPr>
                <w:rFonts w:hint="eastAsia" w:ascii="Calibri" w:hAnsi="Calibri"/>
                <w:szCs w:val="21"/>
                <w:lang w:val="en-US" w:eastAsia="zh-CN"/>
              </w:rPr>
              <w:t>10</w:t>
            </w:r>
            <w:r>
              <w:rPr>
                <w:rFonts w:hint="eastAsia" w:ascii="Calibri" w:hAnsi="Calibri"/>
                <w:szCs w:val="21"/>
              </w:rPr>
              <w:t>月2</w:t>
            </w:r>
            <w:r>
              <w:rPr>
                <w:rFonts w:hint="eastAsia" w:ascii="Calibri" w:hAnsi="Calibri"/>
                <w:szCs w:val="21"/>
                <w:lang w:val="en-US" w:eastAsia="zh-CN"/>
              </w:rPr>
              <w:t>9</w:t>
            </w:r>
            <w:r>
              <w:rPr>
                <w:rFonts w:hint="eastAsia" w:ascii="Calibri" w:hAnsi="Calibri"/>
                <w:szCs w:val="21"/>
              </w:rPr>
              <w:t>日，地点厂区前空地，对演练过程进行了描述，并对预案的有效性进行了评价。目前未发生火灾、人身伤害等事故。</w:t>
            </w:r>
          </w:p>
        </w:tc>
        <w:tc>
          <w:tcPr>
            <w:tcW w:w="0" w:type="auto"/>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280" w:lineRule="exact"/>
              <w:rPr>
                <w:rFonts w:ascii="宋体" w:hAnsi="宋体" w:eastAsia="宋体" w:cs="宋体"/>
                <w:kern w:val="2"/>
                <w:sz w:val="21"/>
                <w:szCs w:val="21"/>
                <w:lang w:val="en-US" w:eastAsia="zh-CN" w:bidi="ar-SA"/>
              </w:rPr>
            </w:pPr>
            <w:r>
              <w:rPr>
                <w:rFonts w:hint="eastAsia" w:ascii="宋体" w:hAnsi="宋体" w:cs="宋体"/>
                <w:color w:val="000000"/>
                <w:kern w:val="0"/>
                <w:szCs w:val="21"/>
              </w:rPr>
              <w:t>沟通</w:t>
            </w:r>
          </w:p>
        </w:tc>
        <w:tc>
          <w:tcPr>
            <w:tcW w:w="0" w:type="auto"/>
            <w:vAlign w:val="top"/>
          </w:tcPr>
          <w:p>
            <w:pPr>
              <w:spacing w:line="280" w:lineRule="exact"/>
              <w:rPr>
                <w:rFonts w:ascii="Times New Roman" w:hAnsi="Times New Roman" w:eastAsia="宋体" w:cs="Times New Roman"/>
                <w:kern w:val="2"/>
                <w:sz w:val="21"/>
                <w:szCs w:val="21"/>
                <w:lang w:val="en-US" w:eastAsia="zh-CN" w:bidi="ar-SA"/>
              </w:rPr>
            </w:pPr>
            <w:r>
              <w:rPr>
                <w:rFonts w:hint="eastAsia" w:ascii="宋体" w:hAnsi="宋体" w:cs="宋体"/>
                <w:color w:val="000000"/>
                <w:kern w:val="0"/>
                <w:szCs w:val="21"/>
              </w:rPr>
              <w:t>QE</w:t>
            </w:r>
            <w:r>
              <w:rPr>
                <w:szCs w:val="21"/>
              </w:rPr>
              <w:t>O</w:t>
            </w:r>
            <w:r>
              <w:rPr>
                <w:rFonts w:hint="eastAsia" w:ascii="宋体" w:hAnsi="宋体" w:cs="宋体"/>
                <w:color w:val="000000"/>
                <w:kern w:val="0"/>
                <w:szCs w:val="21"/>
              </w:rPr>
              <w:t>7.4</w:t>
            </w:r>
          </w:p>
        </w:tc>
        <w:tc>
          <w:tcPr>
            <w:tcW w:w="0" w:type="auto"/>
            <w:vAlign w:val="center"/>
          </w:tcPr>
          <w:p>
            <w:pPr>
              <w:spacing w:line="280" w:lineRule="exact"/>
              <w:ind w:firstLine="420" w:firstLineChars="200"/>
              <w:rPr>
                <w:szCs w:val="21"/>
              </w:rPr>
            </w:pPr>
            <w:r>
              <w:rPr>
                <w:rFonts w:hint="eastAsia"/>
                <w:szCs w:val="21"/>
              </w:rPr>
              <w:t>公司编制并实施了《信息交流管理程序》，规定了职责、工作流程，包括内部沟通和外部沟通的方法和要求。</w:t>
            </w:r>
            <w:r>
              <w:rPr>
                <w:rFonts w:hint="eastAsia"/>
                <w:szCs w:val="21"/>
                <w:lang w:val="en-US" w:eastAsia="zh-CN"/>
              </w:rPr>
              <w:t>部门与其他部门以</w:t>
            </w:r>
            <w:r>
              <w:rPr>
                <w:rFonts w:hint="eastAsia"/>
                <w:szCs w:val="21"/>
              </w:rPr>
              <w:t>口头、会议、电话、微信、QQ等形式沟通；会议有年度、季度和月度会议；沟通相关服务要求、环境和职业健康安全事项。对外沟通由</w:t>
            </w:r>
            <w:r>
              <w:rPr>
                <w:rFonts w:hint="eastAsia"/>
                <w:szCs w:val="21"/>
                <w:lang w:eastAsia="zh-CN"/>
              </w:rPr>
              <w:t>人事行政部</w:t>
            </w:r>
            <w:r>
              <w:rPr>
                <w:rFonts w:hint="eastAsia"/>
                <w:szCs w:val="21"/>
              </w:rPr>
              <w:t>统一负责。</w:t>
            </w:r>
          </w:p>
          <w:p>
            <w:pPr>
              <w:spacing w:line="280" w:lineRule="exact"/>
              <w:ind w:firstLine="420" w:firstLineChars="200"/>
              <w:rPr>
                <w:szCs w:val="21"/>
              </w:rPr>
            </w:pPr>
            <w:r>
              <w:rPr>
                <w:rFonts w:hint="eastAsia"/>
                <w:szCs w:val="21"/>
                <w:lang w:val="en-US" w:eastAsia="zh-CN"/>
              </w:rPr>
              <w:t>外</w:t>
            </w:r>
            <w:r>
              <w:rPr>
                <w:rFonts w:hint="eastAsia"/>
                <w:szCs w:val="21"/>
              </w:rPr>
              <w:t>部交流：通过发放《关于对相关方要求的告知书》与相关方就相关环境、职业健康安全信息进行相互沟通。</w:t>
            </w:r>
          </w:p>
          <w:p>
            <w:pPr>
              <w:spacing w:line="280" w:lineRule="exact"/>
              <w:ind w:firstLine="420" w:firstLineChars="200"/>
              <w:rPr>
                <w:rFonts w:ascii="Times New Roman" w:hAnsi="Times New Roman" w:eastAsia="宋体" w:cs="Times New Roman"/>
                <w:kern w:val="2"/>
                <w:sz w:val="21"/>
                <w:szCs w:val="21"/>
                <w:lang w:val="en-US" w:eastAsia="zh-CN" w:bidi="ar-SA"/>
              </w:rPr>
            </w:pPr>
            <w:r>
              <w:rPr>
                <w:rFonts w:hint="eastAsia"/>
                <w:szCs w:val="21"/>
              </w:rPr>
              <w:t>审核周期内未发生因沟通不善造成的的问题。</w:t>
            </w:r>
          </w:p>
        </w:tc>
        <w:tc>
          <w:tcPr>
            <w:tcW w:w="0" w:type="auto"/>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spacing w:line="320" w:lineRule="exact"/>
              <w:ind w:right="105" w:rightChars="50"/>
              <w:textAlignment w:val="baseline"/>
              <w:rPr>
                <w:rFonts w:ascii="宋体" w:hAnsi="宋体" w:eastAsia="宋体" w:cs="宋体"/>
                <w:color w:val="000000"/>
                <w:kern w:val="0"/>
                <w:sz w:val="21"/>
                <w:szCs w:val="21"/>
                <w:lang w:val="en-US" w:eastAsia="zh-CN" w:bidi="ar-SA"/>
              </w:rPr>
            </w:pPr>
            <w:r>
              <w:rPr>
                <w:rFonts w:hint="eastAsia" w:ascii="宋体" w:hAnsi="宋体" w:cs="Arial"/>
                <w:szCs w:val="21"/>
              </w:rPr>
              <w:t>产品和服务的要求</w:t>
            </w:r>
          </w:p>
        </w:tc>
        <w:tc>
          <w:tcPr>
            <w:tcW w:w="0" w:type="auto"/>
            <w:vAlign w:val="top"/>
          </w:tcPr>
          <w:p>
            <w:pPr>
              <w:spacing w:line="280" w:lineRule="exact"/>
              <w:rPr>
                <w:rFonts w:ascii="宋体" w:hAnsi="宋体" w:eastAsia="宋体" w:cs="宋体"/>
                <w:color w:val="000000"/>
                <w:kern w:val="0"/>
                <w:sz w:val="21"/>
                <w:szCs w:val="21"/>
                <w:lang w:val="en-US" w:eastAsia="zh-CN" w:bidi="ar-SA"/>
              </w:rPr>
            </w:pPr>
            <w:r>
              <w:rPr>
                <w:rFonts w:hint="eastAsia" w:ascii="宋体" w:hAnsi="宋体" w:cs="Arial"/>
                <w:szCs w:val="21"/>
              </w:rPr>
              <w:t>8.2</w:t>
            </w:r>
          </w:p>
        </w:tc>
        <w:tc>
          <w:tcPr>
            <w:tcW w:w="0" w:type="auto"/>
            <w:vAlign w:val="top"/>
          </w:tcPr>
          <w:p>
            <w:pPr>
              <w:spacing w:line="280" w:lineRule="exact"/>
              <w:ind w:firstLine="420" w:firstLineChars="200"/>
              <w:rPr>
                <w:rFonts w:hint="eastAsia"/>
                <w:color w:val="000000"/>
                <w:szCs w:val="21"/>
              </w:rPr>
            </w:pPr>
            <w:r>
              <w:rPr>
                <w:rFonts w:hint="eastAsia"/>
                <w:color w:val="000000"/>
                <w:szCs w:val="21"/>
                <w:lang w:eastAsia="zh-CN"/>
              </w:rPr>
              <w:t>供销部</w:t>
            </w:r>
            <w:r>
              <w:rPr>
                <w:rFonts w:hint="eastAsia"/>
                <w:color w:val="000000"/>
                <w:szCs w:val="21"/>
              </w:rPr>
              <w:t>通过和客户电话联系、上门回访、邮箱联系等方式进行服务宣传，向顾客介绍服务，回答顾客的咨询，让顾客了解公司及服务情况。</w:t>
            </w:r>
            <w:r>
              <w:rPr>
                <w:rFonts w:hint="eastAsia"/>
                <w:color w:val="000000"/>
                <w:szCs w:val="21"/>
                <w:lang w:eastAsia="zh-CN"/>
              </w:rPr>
              <w:t>供销部</w:t>
            </w:r>
            <w:r>
              <w:rPr>
                <w:rFonts w:hint="eastAsia"/>
                <w:color w:val="000000"/>
                <w:szCs w:val="21"/>
              </w:rPr>
              <w:t>负责就合同或订单的处理，合同的评审，向顾客提供符合要求的服务。每年向顾客发放满意度调查表了解顾客的需求和期望。</w:t>
            </w:r>
          </w:p>
          <w:p>
            <w:pPr>
              <w:spacing w:line="280" w:lineRule="exact"/>
              <w:ind w:firstLine="420" w:firstLineChars="200"/>
              <w:rPr>
                <w:rFonts w:hint="default" w:eastAsia="宋体"/>
                <w:color w:val="000000"/>
                <w:szCs w:val="21"/>
                <w:lang w:val="en-US" w:eastAsia="zh-CN"/>
              </w:rPr>
            </w:pPr>
            <w:r>
              <w:rPr>
                <w:rFonts w:hint="eastAsia"/>
                <w:color w:val="000000"/>
                <w:szCs w:val="21"/>
                <w:lang w:val="en-US" w:eastAsia="zh-CN"/>
              </w:rPr>
              <w:t>公司主要的业务性质为外销或为国外客户定制产品，主要按客户要求生产。国内相关产品标准考虑较少。</w:t>
            </w:r>
          </w:p>
          <w:p>
            <w:pPr>
              <w:spacing w:line="280" w:lineRule="exact"/>
              <w:ind w:firstLine="420" w:firstLineChars="200"/>
              <w:rPr>
                <w:color w:val="000000"/>
                <w:szCs w:val="21"/>
              </w:rPr>
            </w:pPr>
            <w:r>
              <w:rPr>
                <w:rFonts w:hint="eastAsia"/>
                <w:color w:val="000000"/>
                <w:szCs w:val="21"/>
              </w:rPr>
              <w:t>公司编制的管理手册中规定了与服务有关要求的确定、评审以及更改的职责和工作流程要求。</w:t>
            </w:r>
          </w:p>
          <w:p>
            <w:pPr>
              <w:spacing w:line="280" w:lineRule="exact"/>
              <w:ind w:firstLine="420" w:firstLineChars="200"/>
              <w:rPr>
                <w:color w:val="000000"/>
                <w:szCs w:val="21"/>
              </w:rPr>
            </w:pPr>
            <w:r>
              <w:rPr>
                <w:rFonts w:hint="eastAsia"/>
                <w:color w:val="000000"/>
                <w:szCs w:val="21"/>
                <w:lang w:val="en-US" w:eastAsia="zh-CN"/>
              </w:rPr>
              <w:t>在标书中</w:t>
            </w:r>
            <w:r>
              <w:rPr>
                <w:rFonts w:hint="eastAsia"/>
                <w:color w:val="000000"/>
                <w:szCs w:val="21"/>
              </w:rPr>
              <w:t>顾客明确规定的要求：即有销售服务本身的质量要求也包括后续活动的要求。顾客没有明确规定，但预期或规定用途所必要的要求。与</w:t>
            </w:r>
            <w:r>
              <w:rPr>
                <w:rFonts w:hint="eastAsia"/>
                <w:color w:val="000000"/>
                <w:szCs w:val="21"/>
                <w:lang w:val="en-US" w:eastAsia="zh-CN"/>
              </w:rPr>
              <w:t>地板</w:t>
            </w:r>
            <w:r>
              <w:rPr>
                <w:rFonts w:hint="eastAsia"/>
                <w:color w:val="000000"/>
                <w:szCs w:val="21"/>
              </w:rPr>
              <w:t>销售服务有关的法律法规的要求及本公司附加的对顾客的责任。</w:t>
            </w:r>
          </w:p>
          <w:p>
            <w:pPr>
              <w:spacing w:line="280" w:lineRule="exact"/>
              <w:ind w:firstLine="420" w:firstLineChars="200"/>
              <w:rPr>
                <w:color w:val="000000"/>
                <w:szCs w:val="21"/>
              </w:rPr>
            </w:pPr>
            <w:r>
              <w:rPr>
                <w:rFonts w:hint="eastAsia"/>
                <w:color w:val="000000"/>
                <w:szCs w:val="21"/>
              </w:rPr>
              <w:t>公司承接业务的方式主要是：通过</w:t>
            </w:r>
            <w:r>
              <w:rPr>
                <w:rFonts w:hint="eastAsia"/>
                <w:color w:val="000000"/>
                <w:szCs w:val="21"/>
                <w:lang w:val="en-US" w:eastAsia="zh-CN"/>
              </w:rPr>
              <w:t>外销洽谈，</w:t>
            </w:r>
            <w:r>
              <w:rPr>
                <w:rFonts w:hint="eastAsia"/>
                <w:color w:val="000000"/>
                <w:szCs w:val="21"/>
              </w:rPr>
              <w:t>与顾客签订合同，公司按顾客要求</w:t>
            </w:r>
            <w:r>
              <w:rPr>
                <w:rFonts w:hint="eastAsia"/>
                <w:color w:val="000000"/>
                <w:szCs w:val="21"/>
                <w:lang w:val="en-US" w:eastAsia="zh-CN"/>
              </w:rPr>
              <w:t>或样品实物质量提供产品和服务</w:t>
            </w:r>
            <w:r>
              <w:rPr>
                <w:rFonts w:hint="eastAsia"/>
                <w:color w:val="000000"/>
                <w:szCs w:val="21"/>
              </w:rPr>
              <w:t>，并以传真等方式进行沟通、确认，并对</w:t>
            </w:r>
            <w:r>
              <w:rPr>
                <w:rFonts w:hint="eastAsia"/>
                <w:color w:val="000000"/>
                <w:szCs w:val="21"/>
                <w:lang w:val="en-US" w:eastAsia="zh-CN"/>
              </w:rPr>
              <w:t>地板</w:t>
            </w:r>
            <w:r>
              <w:rPr>
                <w:rFonts w:hint="eastAsia"/>
                <w:color w:val="000000"/>
                <w:szCs w:val="21"/>
              </w:rPr>
              <w:t>的销售要求等给予了明确。</w:t>
            </w:r>
          </w:p>
          <w:p>
            <w:pPr>
              <w:spacing w:line="280" w:lineRule="exact"/>
              <w:ind w:firstLine="420" w:firstLineChars="200"/>
              <w:rPr>
                <w:color w:val="000000"/>
                <w:szCs w:val="21"/>
              </w:rPr>
            </w:pPr>
            <w:r>
              <w:rPr>
                <w:rFonts w:hint="eastAsia"/>
                <w:color w:val="000000"/>
                <w:szCs w:val="21"/>
              </w:rPr>
              <w:t>公司</w:t>
            </w:r>
            <w:r>
              <w:rPr>
                <w:rFonts w:hint="eastAsia"/>
                <w:color w:val="000000"/>
                <w:szCs w:val="21"/>
                <w:lang w:val="en-US" w:eastAsia="zh-CN"/>
              </w:rPr>
              <w:t>地板生产</w:t>
            </w:r>
            <w:r>
              <w:rPr>
                <w:rFonts w:hint="eastAsia"/>
                <w:color w:val="000000"/>
                <w:szCs w:val="21"/>
              </w:rPr>
              <w:t>基本已成熟，</w:t>
            </w:r>
            <w:r>
              <w:rPr>
                <w:rFonts w:hint="eastAsia"/>
                <w:color w:val="000000"/>
                <w:szCs w:val="21"/>
                <w:lang w:val="en-US" w:eastAsia="zh-CN"/>
              </w:rPr>
              <w:t>答订合同前</w:t>
            </w:r>
            <w:r>
              <w:rPr>
                <w:rFonts w:hint="eastAsia"/>
                <w:color w:val="000000"/>
                <w:szCs w:val="21"/>
              </w:rPr>
              <w:t>在公司内组织评审，</w:t>
            </w:r>
            <w:r>
              <w:rPr>
                <w:rFonts w:hint="eastAsia"/>
                <w:color w:val="000000"/>
                <w:szCs w:val="21"/>
                <w:lang w:val="en-US" w:eastAsia="zh-CN"/>
              </w:rPr>
              <w:t>签订合同后</w:t>
            </w:r>
            <w:r>
              <w:rPr>
                <w:rFonts w:hint="eastAsia"/>
                <w:color w:val="000000"/>
                <w:szCs w:val="21"/>
              </w:rPr>
              <w:t>完成合同评审。</w:t>
            </w:r>
          </w:p>
          <w:p>
            <w:pPr>
              <w:spacing w:line="280" w:lineRule="exact"/>
              <w:ind w:firstLine="420" w:firstLineChars="200"/>
              <w:rPr>
                <w:rFonts w:hint="default"/>
                <w:color w:val="000000"/>
                <w:szCs w:val="21"/>
                <w:lang w:val="en-US" w:eastAsia="zh-CN"/>
              </w:rPr>
            </w:pPr>
            <w:r>
              <w:rPr>
                <w:rFonts w:hint="eastAsia"/>
                <w:color w:val="000000"/>
                <w:szCs w:val="21"/>
                <w:lang w:val="en-US" w:eastAsia="zh-CN"/>
              </w:rPr>
              <w:t>提供的定点或合同为英文形式。</w:t>
            </w:r>
          </w:p>
          <w:p>
            <w:pPr>
              <w:spacing w:line="280" w:lineRule="exact"/>
              <w:ind w:firstLine="420" w:firstLineChars="200"/>
              <w:rPr>
                <w:color w:val="000000"/>
                <w:szCs w:val="21"/>
              </w:rPr>
            </w:pPr>
            <w:r>
              <w:rPr>
                <w:rFonts w:hint="eastAsia"/>
                <w:color w:val="000000"/>
                <w:szCs w:val="21"/>
                <w:lang w:val="en-US" w:eastAsia="zh-CN"/>
              </w:rPr>
              <w:t>抽查</w:t>
            </w:r>
            <w:r>
              <w:rPr>
                <w:rFonts w:hint="eastAsia"/>
                <w:color w:val="000000"/>
                <w:szCs w:val="21"/>
              </w:rPr>
              <w:t>：</w:t>
            </w:r>
          </w:p>
          <w:p>
            <w:pPr>
              <w:spacing w:line="280" w:lineRule="exact"/>
              <w:ind w:firstLine="420" w:firstLineChars="200"/>
              <w:rPr>
                <w:rFonts w:hint="eastAsia"/>
                <w:color w:val="000000"/>
                <w:szCs w:val="21"/>
              </w:rPr>
            </w:pPr>
            <w:r>
              <w:rPr>
                <w:rFonts w:hint="eastAsia"/>
                <w:color w:val="000000"/>
                <w:szCs w:val="21"/>
              </w:rPr>
              <w:t>1、20</w:t>
            </w:r>
            <w:r>
              <w:rPr>
                <w:rFonts w:hint="eastAsia"/>
                <w:color w:val="000000"/>
                <w:szCs w:val="21"/>
                <w:lang w:val="en-US" w:eastAsia="zh-CN"/>
              </w:rPr>
              <w:t>21</w:t>
            </w:r>
            <w:r>
              <w:rPr>
                <w:rFonts w:hint="eastAsia"/>
                <w:color w:val="000000"/>
                <w:szCs w:val="21"/>
              </w:rPr>
              <w:t>-</w:t>
            </w:r>
            <w:r>
              <w:rPr>
                <w:rFonts w:hint="eastAsia"/>
                <w:color w:val="000000"/>
                <w:szCs w:val="21"/>
                <w:lang w:val="en-US" w:eastAsia="zh-CN"/>
              </w:rPr>
              <w:t>12</w:t>
            </w:r>
            <w:r>
              <w:rPr>
                <w:rFonts w:hint="eastAsia"/>
                <w:color w:val="000000"/>
                <w:szCs w:val="21"/>
              </w:rPr>
              <w:t>-</w:t>
            </w:r>
            <w:r>
              <w:rPr>
                <w:rFonts w:hint="eastAsia"/>
                <w:color w:val="000000"/>
                <w:szCs w:val="21"/>
                <w:lang w:val="en-US" w:eastAsia="zh-CN"/>
              </w:rPr>
              <w:t>0</w:t>
            </w:r>
            <w:r>
              <w:rPr>
                <w:rFonts w:hint="eastAsia"/>
                <w:color w:val="000000"/>
                <w:szCs w:val="21"/>
              </w:rPr>
              <w:t>3与</w:t>
            </w:r>
            <w:r>
              <w:rPr>
                <w:rFonts w:hint="eastAsia"/>
                <w:color w:val="000000"/>
                <w:szCs w:val="21"/>
                <w:lang w:val="en-US" w:eastAsia="zh-CN"/>
              </w:rPr>
              <w:t>OCEAN FRONTIER LOGISTICS CO.,LTD的《SOLD WOOD FLOORING》合同订单</w:t>
            </w:r>
            <w:r>
              <w:rPr>
                <w:rFonts w:hint="eastAsia"/>
                <w:color w:val="000000"/>
                <w:szCs w:val="21"/>
              </w:rPr>
              <w:t>，</w:t>
            </w:r>
            <w:r>
              <w:rPr>
                <w:rFonts w:hint="eastAsia"/>
                <w:color w:val="000000"/>
                <w:szCs w:val="21"/>
                <w:lang w:val="en-US" w:eastAsia="zh-CN"/>
              </w:rPr>
              <w:t>产品：木地板；数量：12000kg,以邮件的方式确认定单，以邮件的方式回复确认下单</w:t>
            </w:r>
            <w:r>
              <w:rPr>
                <w:rFonts w:hint="eastAsia"/>
                <w:color w:val="000000"/>
                <w:szCs w:val="21"/>
              </w:rPr>
              <w:t>。</w:t>
            </w:r>
          </w:p>
          <w:p>
            <w:pPr>
              <w:spacing w:line="280" w:lineRule="exact"/>
              <w:ind w:firstLine="420" w:firstLineChars="200"/>
              <w:rPr>
                <w:rFonts w:hint="eastAsia"/>
                <w:color w:val="000000"/>
                <w:szCs w:val="21"/>
              </w:rPr>
            </w:pPr>
            <w:r>
              <w:rPr>
                <w:rFonts w:hint="eastAsia"/>
                <w:color w:val="000000"/>
                <w:szCs w:val="21"/>
              </w:rPr>
              <w:t>2、20</w:t>
            </w:r>
            <w:r>
              <w:rPr>
                <w:rFonts w:hint="eastAsia"/>
                <w:color w:val="000000"/>
                <w:szCs w:val="21"/>
                <w:lang w:val="en-US" w:eastAsia="zh-CN"/>
              </w:rPr>
              <w:t>21</w:t>
            </w:r>
            <w:r>
              <w:rPr>
                <w:rFonts w:hint="eastAsia"/>
                <w:color w:val="000000"/>
                <w:szCs w:val="21"/>
              </w:rPr>
              <w:t>-</w:t>
            </w:r>
            <w:r>
              <w:rPr>
                <w:rFonts w:hint="eastAsia"/>
                <w:color w:val="000000"/>
                <w:szCs w:val="21"/>
                <w:lang w:val="en-US" w:eastAsia="zh-CN"/>
              </w:rPr>
              <w:t>11</w:t>
            </w:r>
            <w:r>
              <w:rPr>
                <w:rFonts w:hint="eastAsia"/>
                <w:color w:val="000000"/>
                <w:szCs w:val="21"/>
              </w:rPr>
              <w:t>-</w:t>
            </w:r>
            <w:r>
              <w:rPr>
                <w:rFonts w:hint="eastAsia"/>
                <w:color w:val="000000"/>
                <w:szCs w:val="21"/>
                <w:lang w:val="en-US" w:eastAsia="zh-CN"/>
              </w:rPr>
              <w:t>21</w:t>
            </w:r>
            <w:r>
              <w:rPr>
                <w:rFonts w:hint="eastAsia"/>
                <w:color w:val="000000"/>
                <w:szCs w:val="21"/>
              </w:rPr>
              <w:t>与</w:t>
            </w:r>
            <w:r>
              <w:rPr>
                <w:rFonts w:hint="eastAsia" w:ascii="宋体" w:hAnsi="宋体" w:cs="宋体"/>
                <w:sz w:val="24"/>
              </w:rPr>
              <w:t>Bella Flooring Plus</w:t>
            </w:r>
            <w:r>
              <w:rPr>
                <w:rFonts w:hint="eastAsia"/>
                <w:color w:val="000000"/>
                <w:szCs w:val="21"/>
                <w:lang w:val="en-US" w:eastAsia="zh-CN"/>
              </w:rPr>
              <w:t>确定的ENGINEERED FLOORING产品订单合同</w:t>
            </w:r>
            <w:r>
              <w:rPr>
                <w:rFonts w:hint="eastAsia"/>
                <w:color w:val="000000"/>
                <w:szCs w:val="21"/>
              </w:rPr>
              <w:t>，</w:t>
            </w:r>
            <w:r>
              <w:rPr>
                <w:rFonts w:hint="eastAsia"/>
                <w:color w:val="000000"/>
                <w:szCs w:val="21"/>
                <w:lang w:val="en-US" w:eastAsia="zh-CN"/>
              </w:rPr>
              <w:t>产品：工程地板；数量：24490kg,39.5m</w:t>
            </w:r>
            <w:r>
              <w:rPr>
                <w:rFonts w:hint="eastAsia"/>
                <w:color w:val="000000"/>
                <w:szCs w:val="21"/>
                <w:vertAlign w:val="superscript"/>
                <w:lang w:val="en-US" w:eastAsia="zh-CN"/>
              </w:rPr>
              <w:t>3,</w:t>
            </w:r>
            <w:r>
              <w:rPr>
                <w:rFonts w:hint="eastAsia"/>
                <w:color w:val="000000"/>
                <w:szCs w:val="21"/>
              </w:rPr>
              <w:t>合同规定了采购清单、验收方式、交付时间、付款方式、违约责任等条款，要求明确，审批</w:t>
            </w:r>
            <w:r>
              <w:rPr>
                <w:rFonts w:hint="eastAsia"/>
                <w:color w:val="000000"/>
                <w:szCs w:val="21"/>
                <w:lang w:val="en-US" w:eastAsia="zh-CN"/>
              </w:rPr>
              <w:t>崔家赫，以邮件的方式回复确认下单</w:t>
            </w:r>
            <w:r>
              <w:rPr>
                <w:rFonts w:hint="eastAsia"/>
                <w:color w:val="000000"/>
                <w:szCs w:val="21"/>
              </w:rPr>
              <w:t>。</w:t>
            </w:r>
          </w:p>
          <w:p>
            <w:pPr>
              <w:spacing w:line="280" w:lineRule="exact"/>
              <w:ind w:firstLine="420" w:firstLineChars="200"/>
              <w:rPr>
                <w:rFonts w:hint="eastAsia"/>
                <w:color w:val="000000"/>
                <w:szCs w:val="21"/>
              </w:rPr>
            </w:pPr>
            <w:r>
              <w:rPr>
                <w:rFonts w:hint="eastAsia"/>
                <w:color w:val="000000"/>
                <w:szCs w:val="21"/>
              </w:rPr>
              <w:t>3、20</w:t>
            </w:r>
            <w:r>
              <w:rPr>
                <w:rFonts w:hint="eastAsia"/>
                <w:color w:val="000000"/>
                <w:szCs w:val="21"/>
                <w:lang w:val="en-US" w:eastAsia="zh-CN"/>
              </w:rPr>
              <w:t>2</w:t>
            </w:r>
            <w:r>
              <w:rPr>
                <w:rFonts w:hint="eastAsia"/>
                <w:color w:val="000000"/>
                <w:szCs w:val="21"/>
              </w:rPr>
              <w:t>-</w:t>
            </w:r>
            <w:r>
              <w:rPr>
                <w:color w:val="000000"/>
                <w:szCs w:val="21"/>
              </w:rPr>
              <w:t>1</w:t>
            </w:r>
            <w:r>
              <w:rPr>
                <w:rFonts w:hint="eastAsia"/>
                <w:color w:val="000000"/>
                <w:szCs w:val="21"/>
                <w:lang w:val="en-US" w:eastAsia="zh-CN"/>
              </w:rPr>
              <w:t>1</w:t>
            </w:r>
            <w:r>
              <w:rPr>
                <w:rFonts w:hint="eastAsia"/>
                <w:color w:val="000000"/>
                <w:szCs w:val="21"/>
              </w:rPr>
              <w:t>-</w:t>
            </w:r>
            <w:r>
              <w:rPr>
                <w:rFonts w:hint="eastAsia"/>
                <w:color w:val="000000"/>
                <w:szCs w:val="21"/>
                <w:lang w:val="en-US" w:eastAsia="zh-CN"/>
              </w:rPr>
              <w:t>30，OKUTA Co.,ltd.的订单表，列有各类颜色要求的产品够细，产品：SOLID PINE FLOORING（实松地板）；</w:t>
            </w:r>
            <w:r>
              <w:rPr>
                <w:rFonts w:hint="eastAsia"/>
                <w:color w:val="000000"/>
                <w:szCs w:val="21"/>
              </w:rPr>
              <w:t>合同规定了采购清单、</w:t>
            </w:r>
            <w:r>
              <w:rPr>
                <w:rFonts w:hint="eastAsia"/>
                <w:color w:val="000000"/>
                <w:szCs w:val="21"/>
                <w:lang w:val="en-US" w:eastAsia="zh-CN"/>
              </w:rPr>
              <w:t>数量、</w:t>
            </w:r>
            <w:r>
              <w:rPr>
                <w:rFonts w:hint="eastAsia"/>
                <w:color w:val="000000"/>
                <w:szCs w:val="21"/>
              </w:rPr>
              <w:t>验收方式、交付时间、付款方式、违约责任等条款，要求明确，审批</w:t>
            </w:r>
            <w:r>
              <w:rPr>
                <w:rFonts w:hint="eastAsia"/>
                <w:color w:val="000000"/>
                <w:szCs w:val="21"/>
                <w:lang w:val="en-US" w:eastAsia="zh-CN"/>
              </w:rPr>
              <w:t>崔家赫</w:t>
            </w:r>
            <w:r>
              <w:rPr>
                <w:rFonts w:hint="eastAsia"/>
                <w:color w:val="000000"/>
                <w:szCs w:val="21"/>
              </w:rPr>
              <w:t>。</w:t>
            </w:r>
          </w:p>
          <w:p>
            <w:pPr>
              <w:spacing w:line="280" w:lineRule="exact"/>
              <w:ind w:firstLine="420" w:firstLineChars="200"/>
              <w:rPr>
                <w:rFonts w:hint="eastAsia"/>
                <w:color w:val="000000"/>
                <w:szCs w:val="21"/>
              </w:rPr>
            </w:pPr>
          </w:p>
          <w:p>
            <w:pPr>
              <w:spacing w:line="280" w:lineRule="exact"/>
              <w:ind w:firstLine="420" w:firstLineChars="200"/>
              <w:rPr>
                <w:color w:val="000000"/>
                <w:szCs w:val="21"/>
              </w:rPr>
            </w:pPr>
            <w:r>
              <w:rPr>
                <w:rFonts w:hint="eastAsia"/>
                <w:color w:val="000000"/>
                <w:szCs w:val="21"/>
              </w:rPr>
              <w:t>以上合同均已实施，合同评审在答复顾客之前进行。</w:t>
            </w:r>
          </w:p>
          <w:p>
            <w:pPr>
              <w:spacing w:line="280" w:lineRule="exact"/>
              <w:ind w:firstLine="420" w:firstLineChars="200"/>
              <w:rPr>
                <w:color w:val="000000"/>
                <w:szCs w:val="21"/>
              </w:rPr>
            </w:pPr>
            <w:r>
              <w:rPr>
                <w:rFonts w:hint="eastAsia"/>
                <w:color w:val="000000"/>
                <w:szCs w:val="21"/>
              </w:rPr>
              <w:t>与顾客的沟通由</w:t>
            </w:r>
            <w:r>
              <w:rPr>
                <w:rFonts w:hint="eastAsia"/>
                <w:color w:val="000000"/>
                <w:szCs w:val="21"/>
                <w:lang w:eastAsia="zh-CN"/>
              </w:rPr>
              <w:t>供销部</w:t>
            </w:r>
            <w:r>
              <w:rPr>
                <w:rFonts w:hint="eastAsia"/>
                <w:color w:val="000000"/>
                <w:szCs w:val="21"/>
              </w:rPr>
              <w:t>负责，方法：通过手机、传真、微信等直接与固定客户保持日常联系，其内容包括：特殊要求、价格、后续服务等。</w:t>
            </w:r>
          </w:p>
          <w:p>
            <w:pPr>
              <w:spacing w:line="280" w:lineRule="exact"/>
              <w:ind w:firstLine="421" w:firstLineChars="0"/>
              <w:rPr>
                <w:rFonts w:ascii="Times New Roman" w:hAnsi="Times New Roman" w:eastAsia="宋体" w:cs="Times New Roman"/>
                <w:b/>
                <w:color w:val="000000"/>
                <w:kern w:val="2"/>
                <w:sz w:val="21"/>
                <w:szCs w:val="21"/>
                <w:lang w:val="en-US" w:eastAsia="zh-CN" w:bidi="ar-SA"/>
              </w:rPr>
            </w:pPr>
            <w:r>
              <w:rPr>
                <w:rFonts w:hint="eastAsia"/>
                <w:color w:val="000000"/>
                <w:szCs w:val="21"/>
              </w:rPr>
              <w:t>公司暂无合同变更情况发生。</w:t>
            </w:r>
          </w:p>
        </w:tc>
        <w:tc>
          <w:tcPr>
            <w:tcW w:w="0" w:type="auto"/>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280" w:lineRule="exact"/>
              <w:rPr>
                <w:rFonts w:hint="eastAsia" w:ascii="宋体" w:hAnsi="宋体" w:eastAsia="宋体" w:cs="宋体"/>
                <w:color w:val="000000"/>
                <w:kern w:val="0"/>
                <w:sz w:val="21"/>
                <w:szCs w:val="21"/>
                <w:lang w:val="en-US" w:eastAsia="zh-CN" w:bidi="ar-SA"/>
              </w:rPr>
            </w:pPr>
            <w:r>
              <w:rPr>
                <w:rFonts w:hint="eastAsia" w:ascii="宋体" w:hAnsi="宋体" w:cs="Arial"/>
                <w:szCs w:val="21"/>
              </w:rPr>
              <w:t>外部提供过程</w:t>
            </w:r>
          </w:p>
        </w:tc>
        <w:tc>
          <w:tcPr>
            <w:tcW w:w="0" w:type="auto"/>
            <w:vAlign w:val="top"/>
          </w:tcPr>
          <w:p>
            <w:pPr>
              <w:spacing w:line="280" w:lineRule="exact"/>
              <w:rPr>
                <w:rFonts w:hint="eastAsia" w:ascii="Times New Roman" w:hAnsi="Times New Roman" w:eastAsia="宋体" w:cs="Times New Roman"/>
                <w:kern w:val="2"/>
                <w:sz w:val="21"/>
                <w:szCs w:val="21"/>
                <w:lang w:val="en-US" w:eastAsia="zh-CN" w:bidi="ar-SA"/>
              </w:rPr>
            </w:pPr>
            <w:r>
              <w:rPr>
                <w:rFonts w:hint="eastAsia"/>
                <w:szCs w:val="21"/>
              </w:rPr>
              <w:t>Q</w:t>
            </w:r>
            <w:r>
              <w:rPr>
                <w:szCs w:val="21"/>
              </w:rPr>
              <w:t>8.4</w:t>
            </w:r>
          </w:p>
        </w:tc>
        <w:tc>
          <w:tcPr>
            <w:tcW w:w="0" w:type="auto"/>
            <w:vAlign w:val="center"/>
          </w:tcPr>
          <w:p>
            <w:pPr>
              <w:spacing w:line="280" w:lineRule="exact"/>
              <w:ind w:firstLine="420" w:firstLineChars="200"/>
              <w:rPr>
                <w:szCs w:val="21"/>
              </w:rPr>
            </w:pPr>
            <w:r>
              <w:rPr>
                <w:rFonts w:hint="eastAsia"/>
                <w:szCs w:val="21"/>
              </w:rPr>
              <w:t>查《管理手册》中明确了“外部提供过程、产品和服务”方面的要求。</w:t>
            </w:r>
          </w:p>
          <w:p>
            <w:pPr>
              <w:spacing w:line="280" w:lineRule="exact"/>
              <w:ind w:firstLine="420" w:firstLineChars="200"/>
              <w:rPr>
                <w:szCs w:val="21"/>
              </w:rPr>
            </w:pPr>
            <w:r>
              <w:rPr>
                <w:rFonts w:hint="eastAsia"/>
                <w:szCs w:val="21"/>
              </w:rPr>
              <w:t>查有《外部提供产品、服务和过程控制程序》；</w:t>
            </w:r>
          </w:p>
          <w:p>
            <w:pPr>
              <w:spacing w:line="280" w:lineRule="exact"/>
              <w:ind w:firstLine="420" w:firstLineChars="200"/>
              <w:rPr>
                <w:szCs w:val="21"/>
              </w:rPr>
            </w:pPr>
            <w:r>
              <w:rPr>
                <w:rFonts w:hint="eastAsia"/>
                <w:szCs w:val="21"/>
              </w:rPr>
              <w:t>负责人介绍：主要负责生产原料采购</w:t>
            </w:r>
            <w:r>
              <w:rPr>
                <w:rFonts w:hint="eastAsia"/>
                <w:szCs w:val="21"/>
                <w:lang w:eastAsia="zh-CN"/>
              </w:rPr>
              <w:t>、</w:t>
            </w:r>
            <w:r>
              <w:rPr>
                <w:rFonts w:hint="eastAsia"/>
                <w:szCs w:val="21"/>
                <w:lang w:val="en-US" w:eastAsia="zh-CN"/>
              </w:rPr>
              <w:t>外包过程实施</w:t>
            </w:r>
            <w:r>
              <w:rPr>
                <w:rFonts w:hint="eastAsia"/>
                <w:szCs w:val="21"/>
              </w:rPr>
              <w:t>及财务相关部门参与对交货价格的评审。</w:t>
            </w:r>
          </w:p>
          <w:p>
            <w:pPr>
              <w:spacing w:line="280" w:lineRule="exact"/>
              <w:ind w:firstLine="420" w:firstLineChars="200"/>
              <w:rPr>
                <w:rFonts w:hint="eastAsia" w:eastAsia="宋体"/>
                <w:szCs w:val="21"/>
                <w:lang w:eastAsia="zh-CN"/>
              </w:rPr>
            </w:pPr>
            <w:r>
              <w:rPr>
                <w:rFonts w:hint="eastAsia"/>
                <w:szCs w:val="21"/>
                <w:lang w:eastAsia="zh-CN"/>
              </w:rPr>
              <w:t>供销部</w:t>
            </w:r>
            <w:r>
              <w:rPr>
                <w:rFonts w:hint="eastAsia"/>
                <w:szCs w:val="21"/>
              </w:rPr>
              <w:t>能对外部供方提供所要求的过程、产品或服务的能力，确定了外部供方的评价、选择、绩效监视评价的准则，并加以实施。主要用品：</w:t>
            </w:r>
            <w:r>
              <w:rPr>
                <w:rFonts w:hint="eastAsia"/>
                <w:szCs w:val="21"/>
                <w:lang w:val="en-US" w:eastAsia="zh-CN"/>
              </w:rPr>
              <w:t>木皮、地板基材、胶粘剂、附着剂、油漆及劳保用品</w:t>
            </w:r>
            <w:r>
              <w:rPr>
                <w:rFonts w:hint="eastAsia"/>
                <w:szCs w:val="21"/>
              </w:rPr>
              <w:t>等</w:t>
            </w:r>
            <w:r>
              <w:rPr>
                <w:rFonts w:hint="eastAsia"/>
                <w:szCs w:val="21"/>
                <w:lang w:eastAsia="zh-CN"/>
              </w:rPr>
              <w:t>。</w:t>
            </w:r>
          </w:p>
          <w:p>
            <w:pPr>
              <w:spacing w:line="280" w:lineRule="exact"/>
              <w:ind w:firstLine="420" w:firstLineChars="200"/>
              <w:rPr>
                <w:szCs w:val="21"/>
              </w:rPr>
            </w:pPr>
            <w:r>
              <w:rPr>
                <w:rFonts w:hint="eastAsia"/>
                <w:szCs w:val="21"/>
              </w:rPr>
              <w:t>查</w:t>
            </w:r>
            <w:r>
              <w:rPr>
                <w:rFonts w:hint="eastAsia"/>
                <w:szCs w:val="21"/>
                <w:lang w:val="en-US" w:eastAsia="zh-CN"/>
              </w:rPr>
              <w:t>合格供方名录、</w:t>
            </w:r>
            <w:r>
              <w:rPr>
                <w:rFonts w:hint="eastAsia"/>
                <w:szCs w:val="21"/>
              </w:rPr>
              <w:t>供方均有供方调查表、供方调查评价及收集相关资料。</w:t>
            </w:r>
          </w:p>
          <w:p>
            <w:pPr>
              <w:spacing w:line="280" w:lineRule="exact"/>
              <w:ind w:firstLine="420" w:firstLineChars="200"/>
              <w:rPr>
                <w:szCs w:val="21"/>
              </w:rPr>
            </w:pPr>
            <w:r>
              <w:rPr>
                <w:rFonts w:hint="eastAsia"/>
                <w:szCs w:val="21"/>
              </w:rPr>
              <w:t>提供了：供方调查评价表</w:t>
            </w:r>
          </w:p>
          <w:p>
            <w:pPr>
              <w:spacing w:line="280" w:lineRule="exact"/>
              <w:ind w:firstLine="420" w:firstLineChars="200"/>
              <w:rPr>
                <w:szCs w:val="21"/>
              </w:rPr>
            </w:pPr>
            <w:r>
              <w:rPr>
                <w:rFonts w:hint="eastAsia"/>
                <w:szCs w:val="21"/>
              </w:rPr>
              <w:t>内容有：供方名称、供应产品、评价内容</w:t>
            </w:r>
          </w:p>
          <w:p>
            <w:pPr>
              <w:spacing w:line="280" w:lineRule="exact"/>
              <w:ind w:firstLine="420" w:firstLineChars="200"/>
              <w:rPr>
                <w:rFonts w:hint="eastAsia"/>
                <w:szCs w:val="21"/>
              </w:rPr>
            </w:pPr>
            <w:r>
              <w:rPr>
                <w:rFonts w:hint="eastAsia"/>
                <w:szCs w:val="21"/>
              </w:rPr>
              <w:t>提供了“合格供方名录”，内容有：序号、供方名称、供应产品名称、数量、电话地扯等，共列入合格供方</w:t>
            </w:r>
            <w:r>
              <w:rPr>
                <w:rFonts w:hint="eastAsia"/>
                <w:szCs w:val="21"/>
                <w:lang w:val="en-US" w:eastAsia="zh-CN"/>
              </w:rPr>
              <w:t>5</w:t>
            </w:r>
            <w:r>
              <w:rPr>
                <w:rFonts w:hint="eastAsia"/>
                <w:szCs w:val="21"/>
              </w:rPr>
              <w:t>家</w:t>
            </w:r>
            <w:r>
              <w:rPr>
                <w:rFonts w:hint="eastAsia"/>
                <w:szCs w:val="21"/>
                <w:lang w:eastAsia="zh-CN"/>
              </w:rPr>
              <w:t>，</w:t>
            </w:r>
            <w:r>
              <w:rPr>
                <w:rFonts w:hint="eastAsia"/>
                <w:szCs w:val="21"/>
                <w:lang w:val="en-US" w:eastAsia="zh-CN"/>
              </w:rPr>
              <w:t>未列入紫外光固化水性附着剂和紫外光固化底涂料的供应商</w:t>
            </w:r>
            <w:r>
              <w:rPr>
                <w:rFonts w:hint="eastAsia"/>
                <w:szCs w:val="21"/>
              </w:rPr>
              <w:t>。</w:t>
            </w:r>
          </w:p>
          <w:p>
            <w:pPr>
              <w:spacing w:line="280" w:lineRule="exact"/>
              <w:ind w:firstLine="420" w:firstLineChars="200"/>
              <w:rPr>
                <w:rFonts w:hint="eastAsia"/>
                <w:szCs w:val="21"/>
              </w:rPr>
            </w:pPr>
            <w:r>
              <w:rPr>
                <w:rFonts w:hint="eastAsia"/>
                <w:szCs w:val="21"/>
              </w:rPr>
              <w:t>查供方调查、业绩评定，主要</w:t>
            </w:r>
            <w:r>
              <w:rPr>
                <w:rFonts w:hint="eastAsia"/>
                <w:szCs w:val="21"/>
                <w:lang w:val="en-US" w:eastAsia="zh-CN"/>
              </w:rPr>
              <w:t>原材料、胶粘剂、附着剂、油漆</w:t>
            </w:r>
            <w:r>
              <w:rPr>
                <w:rFonts w:hint="eastAsia"/>
                <w:szCs w:val="21"/>
              </w:rPr>
              <w:t>及劳保用品， 基本按采购相关文件进行。</w:t>
            </w:r>
          </w:p>
          <w:p>
            <w:pPr>
              <w:spacing w:line="280" w:lineRule="exact"/>
              <w:ind w:firstLine="420" w:firstLineChars="200"/>
              <w:rPr>
                <w:rFonts w:hint="eastAsia"/>
                <w:szCs w:val="21"/>
              </w:rPr>
            </w:pPr>
            <w:r>
              <w:rPr>
                <w:rFonts w:hint="eastAsia"/>
                <w:szCs w:val="21"/>
              </w:rPr>
              <w:t>采购/外协程序或流程、采购/外协过程绩效指标等基本明确，</w:t>
            </w:r>
          </w:p>
          <w:p>
            <w:pPr>
              <w:spacing w:line="280" w:lineRule="exact"/>
              <w:ind w:firstLine="420" w:firstLineChars="200"/>
              <w:rPr>
                <w:rFonts w:hint="eastAsia"/>
                <w:szCs w:val="21"/>
              </w:rPr>
            </w:pPr>
            <w:r>
              <w:rPr>
                <w:rFonts w:hint="eastAsia"/>
                <w:szCs w:val="21"/>
              </w:rPr>
              <w:t>与采购的评价情况抽查如下：</w:t>
            </w:r>
          </w:p>
          <w:p>
            <w:pPr>
              <w:spacing w:line="280" w:lineRule="exact"/>
              <w:ind w:firstLine="420" w:firstLineChars="200"/>
              <w:rPr>
                <w:rFonts w:hint="eastAsia"/>
                <w:szCs w:val="21"/>
              </w:rPr>
            </w:pPr>
            <w:r>
              <w:rPr>
                <w:rFonts w:hint="eastAsia"/>
                <w:szCs w:val="21"/>
                <w:lang w:val="en-US" w:eastAsia="zh-CN"/>
              </w:rPr>
              <w:t>1、</w:t>
            </w:r>
            <w:r>
              <w:rPr>
                <w:rFonts w:hint="eastAsia"/>
                <w:szCs w:val="21"/>
              </w:rPr>
              <w:t>提供</w:t>
            </w:r>
            <w:r>
              <w:rPr>
                <w:rFonts w:hint="eastAsia"/>
                <w:szCs w:val="21"/>
                <w:lang w:val="en-US" w:eastAsia="zh-CN"/>
              </w:rPr>
              <w:t>面皮</w:t>
            </w:r>
            <w:r>
              <w:rPr>
                <w:rFonts w:hint="eastAsia"/>
                <w:szCs w:val="21"/>
              </w:rPr>
              <w:t>：</w:t>
            </w:r>
            <w:r>
              <w:rPr>
                <w:rFonts w:hint="eastAsia" w:ascii="宋体" w:hAnsi="宋体" w:cs="宋体"/>
                <w:sz w:val="24"/>
              </w:rPr>
              <w:t>湖州捷昌木业有限公司</w:t>
            </w:r>
            <w:r>
              <w:rPr>
                <w:rFonts w:hint="eastAsia"/>
                <w:szCs w:val="21"/>
              </w:rPr>
              <w:t>，提供评价表，</w:t>
            </w:r>
            <w:r>
              <w:rPr>
                <w:rFonts w:hint="eastAsia"/>
                <w:szCs w:val="21"/>
                <w:lang w:val="en-US" w:eastAsia="zh-CN"/>
              </w:rPr>
              <w:t>见产品检测报告，未见</w:t>
            </w:r>
            <w:r>
              <w:rPr>
                <w:rFonts w:hint="eastAsia"/>
                <w:szCs w:val="21"/>
              </w:rPr>
              <w:t xml:space="preserve">附营业执照信息。 </w:t>
            </w:r>
          </w:p>
          <w:p>
            <w:pPr>
              <w:spacing w:line="280" w:lineRule="exact"/>
              <w:ind w:firstLine="420" w:firstLineChars="200"/>
              <w:rPr>
                <w:rFonts w:hint="eastAsia"/>
                <w:szCs w:val="21"/>
              </w:rPr>
            </w:pPr>
            <w:r>
              <w:rPr>
                <w:rFonts w:hint="eastAsia"/>
                <w:szCs w:val="21"/>
                <w:lang w:val="en-US" w:eastAsia="zh-CN"/>
              </w:rPr>
              <w:t>2、</w:t>
            </w:r>
            <w:r>
              <w:rPr>
                <w:rFonts w:hint="eastAsia"/>
                <w:szCs w:val="21"/>
              </w:rPr>
              <w:t>提供</w:t>
            </w:r>
            <w:r>
              <w:rPr>
                <w:rFonts w:hint="eastAsia"/>
                <w:szCs w:val="21"/>
                <w:lang w:val="en-US" w:eastAsia="zh-CN"/>
              </w:rPr>
              <w:t>胶合板</w:t>
            </w:r>
            <w:r>
              <w:rPr>
                <w:rFonts w:hint="eastAsia"/>
                <w:szCs w:val="21"/>
              </w:rPr>
              <w:t>：</w:t>
            </w:r>
            <w:r>
              <w:rPr>
                <w:rFonts w:hint="eastAsia" w:ascii="宋体" w:hAnsi="宋体" w:cs="宋体"/>
                <w:sz w:val="24"/>
              </w:rPr>
              <w:t>嘉善明阳木业有限公司</w:t>
            </w:r>
            <w:r>
              <w:rPr>
                <w:rFonts w:hint="eastAsia"/>
                <w:szCs w:val="21"/>
              </w:rPr>
              <w:t>，提供评价表，</w:t>
            </w:r>
            <w:r>
              <w:rPr>
                <w:rFonts w:hint="eastAsia"/>
                <w:szCs w:val="21"/>
                <w:lang w:val="en-US" w:eastAsia="zh-CN"/>
              </w:rPr>
              <w:t>见产品检测报告，未见</w:t>
            </w:r>
            <w:r>
              <w:rPr>
                <w:rFonts w:hint="eastAsia"/>
                <w:szCs w:val="21"/>
              </w:rPr>
              <w:t>附营业执照信息。</w:t>
            </w:r>
          </w:p>
          <w:p>
            <w:pPr>
              <w:spacing w:line="280" w:lineRule="exact"/>
              <w:ind w:firstLine="420" w:firstLineChars="200"/>
              <w:rPr>
                <w:rFonts w:hint="eastAsia"/>
                <w:szCs w:val="21"/>
              </w:rPr>
            </w:pPr>
            <w:r>
              <w:rPr>
                <w:rFonts w:hint="eastAsia"/>
                <w:szCs w:val="21"/>
                <w:lang w:val="en-US" w:eastAsia="zh-CN"/>
              </w:rPr>
              <w:t>3、</w:t>
            </w:r>
            <w:r>
              <w:rPr>
                <w:rFonts w:hint="eastAsia"/>
                <w:szCs w:val="21"/>
              </w:rPr>
              <w:t>提供</w:t>
            </w:r>
            <w:r>
              <w:rPr>
                <w:rFonts w:hint="eastAsia"/>
                <w:szCs w:val="21"/>
                <w:lang w:val="en-US" w:eastAsia="zh-CN"/>
              </w:rPr>
              <w:t>油漆</w:t>
            </w:r>
            <w:r>
              <w:rPr>
                <w:rFonts w:hint="eastAsia"/>
                <w:szCs w:val="21"/>
              </w:rPr>
              <w:t xml:space="preserve">: </w:t>
            </w:r>
            <w:r>
              <w:rPr>
                <w:rFonts w:hint="eastAsia" w:ascii="宋体" w:hAnsi="宋体" w:cs="宋体"/>
                <w:sz w:val="24"/>
              </w:rPr>
              <w:t>泰克诺斯坚弗（上海）涂料有限公司</w:t>
            </w:r>
            <w:r>
              <w:rPr>
                <w:rFonts w:hint="eastAsia"/>
                <w:szCs w:val="21"/>
              </w:rPr>
              <w:t>，</w:t>
            </w:r>
            <w:r>
              <w:rPr>
                <w:rFonts w:hint="eastAsia"/>
                <w:szCs w:val="21"/>
                <w:lang w:val="en-US" w:eastAsia="zh-CN"/>
              </w:rPr>
              <w:t>未见供应商检测报告、营业执照、安全生产许可证、化学品安全使用说明书</w:t>
            </w:r>
            <w:r>
              <w:rPr>
                <w:rFonts w:hint="eastAsia"/>
                <w:szCs w:val="21"/>
              </w:rPr>
              <w:t>等信息。</w:t>
            </w:r>
          </w:p>
          <w:p>
            <w:pPr>
              <w:spacing w:line="280" w:lineRule="exact"/>
              <w:ind w:firstLine="420" w:firstLineChars="200"/>
              <w:rPr>
                <w:rFonts w:hint="eastAsia"/>
                <w:color w:val="0000FF"/>
                <w:szCs w:val="21"/>
                <w:lang w:val="en-US" w:eastAsia="zh-CN"/>
              </w:rPr>
            </w:pPr>
            <w:r>
              <w:rPr>
                <w:rFonts w:hint="eastAsia"/>
                <w:szCs w:val="21"/>
              </w:rPr>
              <w:t>负责人介绍，主要一些供应商参与公司新产品研发，多年合作，对提供的原材料产品质量都比较信任，对此把关不够。</w:t>
            </w:r>
          </w:p>
          <w:p>
            <w:pPr>
              <w:spacing w:line="280" w:lineRule="exact"/>
              <w:ind w:firstLine="420" w:firstLineChars="200"/>
              <w:rPr>
                <w:rFonts w:hint="default"/>
                <w:lang w:val="en-US" w:eastAsia="zh-CN"/>
              </w:rPr>
            </w:pPr>
          </w:p>
          <w:p>
            <w:pPr>
              <w:spacing w:line="280" w:lineRule="exact"/>
              <w:ind w:firstLine="420" w:firstLineChars="200"/>
              <w:rPr>
                <w:rFonts w:hint="eastAsia"/>
                <w:szCs w:val="21"/>
              </w:rPr>
            </w:pPr>
            <w:r>
              <w:rPr>
                <w:rFonts w:hint="eastAsia"/>
                <w:szCs w:val="21"/>
              </w:rPr>
              <w:t>抽查：物资采购计划表及采购合同</w:t>
            </w:r>
          </w:p>
          <w:p>
            <w:pPr>
              <w:spacing w:line="280" w:lineRule="exact"/>
              <w:ind w:firstLine="420" w:firstLineChars="200"/>
              <w:rPr>
                <w:szCs w:val="21"/>
              </w:rPr>
            </w:pPr>
            <w:r>
              <w:rPr>
                <w:rFonts w:hint="eastAsia"/>
                <w:szCs w:val="21"/>
                <w:lang w:val="en-US" w:eastAsia="zh-CN"/>
              </w:rPr>
              <w:t>1、</w:t>
            </w:r>
            <w:r>
              <w:rPr>
                <w:rFonts w:hint="eastAsia" w:ascii="宋体" w:hAnsi="宋体" w:cs="宋体"/>
                <w:sz w:val="24"/>
              </w:rPr>
              <w:t>湖州捷昌木业有限公司</w:t>
            </w:r>
            <w:r>
              <w:rPr>
                <w:rFonts w:hint="eastAsia"/>
                <w:szCs w:val="21"/>
              </w:rPr>
              <w:t>，产品名称</w:t>
            </w:r>
            <w:r>
              <w:rPr>
                <w:rFonts w:hint="eastAsia"/>
                <w:szCs w:val="21"/>
                <w:lang w:val="en-US" w:eastAsia="zh-CN"/>
              </w:rPr>
              <w:t>面皮</w:t>
            </w:r>
            <w:r>
              <w:rPr>
                <w:rFonts w:hint="eastAsia"/>
                <w:szCs w:val="21"/>
              </w:rPr>
              <w:t>，内容有：数量、交货时间、质量要求等信息；</w:t>
            </w:r>
          </w:p>
          <w:p>
            <w:pPr>
              <w:spacing w:line="280" w:lineRule="exact"/>
              <w:ind w:firstLine="420" w:firstLineChars="200"/>
              <w:rPr>
                <w:szCs w:val="21"/>
              </w:rPr>
            </w:pPr>
            <w:r>
              <w:rPr>
                <w:rFonts w:hint="eastAsia"/>
                <w:szCs w:val="21"/>
              </w:rPr>
              <w:t>2、</w:t>
            </w:r>
            <w:r>
              <w:rPr>
                <w:rFonts w:hint="eastAsia" w:ascii="宋体" w:hAnsi="宋体" w:cs="宋体"/>
                <w:sz w:val="24"/>
              </w:rPr>
              <w:t>泰克诺斯坚弗（上海）涂料有限公司</w:t>
            </w:r>
            <w:r>
              <w:rPr>
                <w:rFonts w:hint="eastAsia"/>
                <w:szCs w:val="21"/>
              </w:rPr>
              <w:t>，产品名称：</w:t>
            </w:r>
            <w:r>
              <w:rPr>
                <w:rFonts w:hint="eastAsia"/>
                <w:szCs w:val="21"/>
                <w:lang w:val="en-US" w:eastAsia="zh-CN"/>
              </w:rPr>
              <w:t>油漆</w:t>
            </w:r>
            <w:r>
              <w:rPr>
                <w:rFonts w:hint="eastAsia"/>
                <w:szCs w:val="21"/>
              </w:rPr>
              <w:t>，内容有：数量、交货时间、质量要求等信息；</w:t>
            </w:r>
          </w:p>
          <w:p>
            <w:pPr>
              <w:spacing w:line="280" w:lineRule="exact"/>
              <w:ind w:firstLine="420" w:firstLineChars="200"/>
              <w:rPr>
                <w:rFonts w:hint="eastAsia"/>
                <w:szCs w:val="21"/>
              </w:rPr>
            </w:pPr>
            <w:r>
              <w:rPr>
                <w:rFonts w:hint="eastAsia"/>
                <w:szCs w:val="21"/>
                <w:lang w:val="en-US" w:eastAsia="zh-CN"/>
              </w:rPr>
              <w:t>并提供入库单</w:t>
            </w:r>
            <w:r>
              <w:rPr>
                <w:rFonts w:hint="eastAsia"/>
                <w:szCs w:val="21"/>
              </w:rPr>
              <w:t>。</w:t>
            </w:r>
          </w:p>
          <w:p>
            <w:pPr>
              <w:spacing w:line="280" w:lineRule="exact"/>
              <w:ind w:firstLine="420" w:firstLineChars="200"/>
              <w:rPr>
                <w:rFonts w:hint="eastAsia" w:ascii="Times New Roman" w:hAnsi="Times New Roman" w:eastAsia="宋体" w:cs="Times New Roman"/>
                <w:kern w:val="2"/>
                <w:sz w:val="21"/>
                <w:szCs w:val="21"/>
                <w:lang w:val="en-US" w:eastAsia="zh-CN" w:bidi="ar-SA"/>
              </w:rPr>
            </w:pPr>
          </w:p>
        </w:tc>
        <w:tc>
          <w:tcPr>
            <w:tcW w:w="0" w:type="auto"/>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改进项</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0" w:type="auto"/>
            <w:vAlign w:val="top"/>
          </w:tcPr>
          <w:p>
            <w:pPr>
              <w:spacing w:line="280" w:lineRule="exact"/>
              <w:rPr>
                <w:rFonts w:ascii="Times New Roman" w:hAnsi="Times New Roman" w:eastAsia="宋体" w:cs="Times New Roman"/>
                <w:b/>
                <w:color w:val="000000"/>
                <w:kern w:val="2"/>
                <w:sz w:val="21"/>
                <w:szCs w:val="21"/>
                <w:lang w:val="en-US" w:eastAsia="zh-CN" w:bidi="ar-SA"/>
              </w:rPr>
            </w:pPr>
            <w:r>
              <w:rPr>
                <w:rFonts w:hint="eastAsia" w:ascii="宋体" w:hAnsi="宋体" w:cs="宋体"/>
                <w:szCs w:val="21"/>
              </w:rPr>
              <w:t>标识和可追溯性</w:t>
            </w:r>
          </w:p>
        </w:tc>
        <w:tc>
          <w:tcPr>
            <w:tcW w:w="0" w:type="auto"/>
            <w:vAlign w:val="top"/>
          </w:tcPr>
          <w:p>
            <w:pPr>
              <w:spacing w:line="280" w:lineRule="exact"/>
              <w:rPr>
                <w:rFonts w:ascii="宋体" w:hAnsi="宋体" w:cs="宋体"/>
                <w:szCs w:val="21"/>
              </w:rPr>
            </w:pPr>
            <w:r>
              <w:rPr>
                <w:rFonts w:hint="eastAsia" w:ascii="宋体" w:hAnsi="宋体" w:cs="宋体"/>
                <w:szCs w:val="21"/>
              </w:rPr>
              <w:t>Q8.5.2</w:t>
            </w:r>
          </w:p>
          <w:p>
            <w:pPr>
              <w:spacing w:line="280" w:lineRule="exact"/>
              <w:rPr>
                <w:rFonts w:ascii="Times New Roman" w:hAnsi="Times New Roman" w:eastAsia="宋体" w:cs="Times New Roman"/>
                <w:b/>
                <w:color w:val="000000"/>
                <w:kern w:val="2"/>
                <w:sz w:val="21"/>
                <w:szCs w:val="21"/>
                <w:lang w:val="en-US" w:eastAsia="zh-CN" w:bidi="ar-SA"/>
              </w:rPr>
            </w:pPr>
          </w:p>
        </w:tc>
        <w:tc>
          <w:tcPr>
            <w:tcW w:w="0" w:type="auto"/>
            <w:vAlign w:val="top"/>
          </w:tcPr>
          <w:p>
            <w:pPr>
              <w:spacing w:line="280" w:lineRule="exact"/>
              <w:ind w:firstLine="421" w:firstLineChars="0"/>
              <w:rPr>
                <w:rFonts w:ascii="宋体" w:hAnsi="宋体" w:eastAsia="宋体" w:cs="宋体"/>
                <w:kern w:val="2"/>
                <w:sz w:val="21"/>
                <w:szCs w:val="21"/>
                <w:lang w:val="en-US" w:eastAsia="zh-CN" w:bidi="ar-SA"/>
              </w:rPr>
            </w:pPr>
            <w:r>
              <w:rPr>
                <w:rFonts w:hint="eastAsia" w:ascii="宋体" w:hAnsi="宋体" w:cs="宋体"/>
                <w:szCs w:val="21"/>
              </w:rPr>
              <w:t>公司</w:t>
            </w:r>
            <w:r>
              <w:rPr>
                <w:rFonts w:hint="eastAsia" w:ascii="宋体" w:hAnsi="宋体" w:cs="宋体"/>
                <w:szCs w:val="21"/>
                <w:lang w:val="en-US" w:eastAsia="zh-CN"/>
              </w:rPr>
              <w:t>地板</w:t>
            </w:r>
            <w:r>
              <w:rPr>
                <w:rFonts w:hint="eastAsia" w:ascii="宋体" w:hAnsi="宋体" w:cs="宋体"/>
                <w:szCs w:val="21"/>
              </w:rPr>
              <w:t>的</w:t>
            </w:r>
            <w:r>
              <w:rPr>
                <w:rFonts w:ascii="宋体" w:hAnsi="宋体" w:cs="宋体"/>
                <w:szCs w:val="21"/>
              </w:rPr>
              <w:t>销售</w:t>
            </w:r>
            <w:r>
              <w:rPr>
                <w:rFonts w:hint="eastAsia" w:ascii="宋体" w:hAnsi="宋体" w:cs="宋体"/>
                <w:szCs w:val="21"/>
              </w:rPr>
              <w:t>标识，</w:t>
            </w:r>
            <w:r>
              <w:rPr>
                <w:rFonts w:hint="eastAsia" w:ascii="宋体" w:hAnsi="宋体" w:cs="宋体"/>
                <w:szCs w:val="21"/>
                <w:lang w:val="en-US" w:eastAsia="zh-CN"/>
              </w:rPr>
              <w:t>按客户订单要求进行包装并确认</w:t>
            </w:r>
            <w:r>
              <w:rPr>
                <w:rFonts w:hint="eastAsia" w:ascii="宋体" w:hAnsi="宋体" w:cs="宋体"/>
                <w:szCs w:val="21"/>
              </w:rPr>
              <w:t>，所有检验项目填写完整。</w:t>
            </w: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0" w:type="auto"/>
            <w:vAlign w:val="top"/>
          </w:tcPr>
          <w:p>
            <w:pPr>
              <w:spacing w:line="280" w:lineRule="exact"/>
              <w:rPr>
                <w:rFonts w:ascii="宋体" w:hAnsi="宋体" w:eastAsia="宋体" w:cs="宋体"/>
                <w:kern w:val="2"/>
                <w:sz w:val="21"/>
                <w:szCs w:val="21"/>
                <w:lang w:val="en-US" w:eastAsia="zh-CN" w:bidi="ar-SA"/>
              </w:rPr>
            </w:pPr>
            <w:r>
              <w:rPr>
                <w:rFonts w:hint="eastAsia" w:ascii="宋体" w:hAnsi="宋体" w:cs="宋体"/>
                <w:color w:val="000000"/>
                <w:szCs w:val="21"/>
              </w:rPr>
              <w:t>顾客或外供方财产</w:t>
            </w:r>
          </w:p>
        </w:tc>
        <w:tc>
          <w:tcPr>
            <w:tcW w:w="0" w:type="auto"/>
            <w:vAlign w:val="top"/>
          </w:tcPr>
          <w:p>
            <w:pPr>
              <w:spacing w:line="280" w:lineRule="exact"/>
              <w:rPr>
                <w:rFonts w:ascii="宋体" w:hAnsi="宋体" w:cs="宋体"/>
                <w:color w:val="000000"/>
                <w:szCs w:val="21"/>
              </w:rPr>
            </w:pPr>
            <w:r>
              <w:rPr>
                <w:rFonts w:hint="eastAsia" w:ascii="宋体" w:hAnsi="宋体" w:cs="宋体"/>
                <w:color w:val="000000"/>
                <w:szCs w:val="21"/>
              </w:rPr>
              <w:t>Q8.5.3</w:t>
            </w:r>
          </w:p>
          <w:p>
            <w:pPr>
              <w:spacing w:line="280" w:lineRule="exact"/>
              <w:rPr>
                <w:rFonts w:ascii="Times New Roman" w:hAnsi="Times New Roman" w:eastAsia="宋体" w:cs="Times New Roman"/>
                <w:b/>
                <w:color w:val="000000"/>
                <w:kern w:val="2"/>
                <w:sz w:val="21"/>
                <w:szCs w:val="21"/>
                <w:lang w:val="en-US" w:eastAsia="zh-CN" w:bidi="ar-SA"/>
              </w:rPr>
            </w:pPr>
          </w:p>
        </w:tc>
        <w:tc>
          <w:tcPr>
            <w:tcW w:w="0" w:type="auto"/>
            <w:vAlign w:val="top"/>
          </w:tcPr>
          <w:p>
            <w:pPr>
              <w:spacing w:line="280" w:lineRule="exact"/>
              <w:ind w:firstLine="420" w:firstLineChars="200"/>
              <w:rPr>
                <w:rFonts w:hint="eastAsia"/>
                <w:szCs w:val="22"/>
              </w:rPr>
            </w:pPr>
            <w:r>
              <w:rPr>
                <w:rFonts w:hint="eastAsia"/>
                <w:szCs w:val="22"/>
              </w:rPr>
              <w:t>顾客或外部供方的财产包括：</w:t>
            </w:r>
            <w:r>
              <w:rPr>
                <w:rFonts w:hint="eastAsia"/>
                <w:szCs w:val="22"/>
                <w:lang w:val="en-US" w:eastAsia="zh-CN"/>
              </w:rPr>
              <w:t>客户</w:t>
            </w:r>
            <w:r>
              <w:rPr>
                <w:rFonts w:hint="eastAsia"/>
                <w:szCs w:val="22"/>
              </w:rPr>
              <w:t>文件（</w:t>
            </w:r>
            <w:r>
              <w:rPr>
                <w:rFonts w:hint="eastAsia"/>
                <w:szCs w:val="22"/>
                <w:lang w:val="en-US" w:eastAsia="zh-CN"/>
              </w:rPr>
              <w:t>产品技术要求、订单</w:t>
            </w:r>
            <w:r>
              <w:rPr>
                <w:rFonts w:hint="eastAsia"/>
                <w:szCs w:val="22"/>
              </w:rPr>
              <w:t>）、</w:t>
            </w:r>
            <w:r>
              <w:rPr>
                <w:rFonts w:hint="eastAsia"/>
                <w:szCs w:val="22"/>
                <w:lang w:val="en-US" w:eastAsia="zh-CN"/>
              </w:rPr>
              <w:t>实物样品</w:t>
            </w:r>
            <w:r>
              <w:rPr>
                <w:rFonts w:hint="eastAsia"/>
                <w:szCs w:val="22"/>
              </w:rPr>
              <w:t>、联系方式、经营地址及档案资料等信息，由部门专门人员负责管理，分类登记放置。未发生损坏丢失等现象。</w:t>
            </w:r>
          </w:p>
          <w:p>
            <w:pPr>
              <w:spacing w:line="280" w:lineRule="exact"/>
              <w:ind w:firstLine="420" w:firstLineChars="200"/>
              <w:rPr>
                <w:rFonts w:hint="default" w:ascii="Times New Roman" w:hAnsi="Times New Roman" w:eastAsia="宋体" w:cs="Times New Roman"/>
                <w:kern w:val="2"/>
                <w:sz w:val="21"/>
                <w:szCs w:val="22"/>
                <w:lang w:val="en-US" w:eastAsia="zh-CN" w:bidi="ar-SA"/>
              </w:rPr>
            </w:pPr>
            <w:r>
              <w:rPr>
                <w:rFonts w:hint="eastAsia"/>
                <w:szCs w:val="22"/>
                <w:lang w:val="en-US" w:eastAsia="zh-CN"/>
              </w:rPr>
              <w:t>提供《</w:t>
            </w:r>
            <w:r>
              <w:rPr>
                <w:rFonts w:hint="eastAsia" w:ascii="宋体" w:hAnsi="宋体"/>
                <w:sz w:val="24"/>
              </w:rPr>
              <w:t>顾客财产登记表</w:t>
            </w:r>
            <w:r>
              <w:rPr>
                <w:rFonts w:hint="eastAsia"/>
                <w:szCs w:val="22"/>
                <w:lang w:val="en-US" w:eastAsia="zh-CN"/>
              </w:rPr>
              <w:t>》，登记了十项顾客财务相关信息。</w:t>
            </w: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0" w:type="auto"/>
            <w:vAlign w:val="top"/>
          </w:tcPr>
          <w:p>
            <w:pPr>
              <w:spacing w:line="280" w:lineRule="exact"/>
              <w:rPr>
                <w:rFonts w:ascii="宋体" w:hAnsi="宋体" w:cs="宋体"/>
                <w:szCs w:val="21"/>
              </w:rPr>
            </w:pPr>
            <w:r>
              <w:rPr>
                <w:rFonts w:hint="eastAsia" w:ascii="宋体" w:hAnsi="宋体" w:cs="宋体"/>
                <w:szCs w:val="21"/>
              </w:rPr>
              <w:t>防护</w:t>
            </w:r>
          </w:p>
          <w:p>
            <w:pPr>
              <w:spacing w:line="280" w:lineRule="exact"/>
              <w:rPr>
                <w:rFonts w:ascii="Times New Roman" w:hAnsi="Times New Roman" w:eastAsia="宋体" w:cs="Times New Roman"/>
                <w:b/>
                <w:color w:val="000000"/>
                <w:kern w:val="2"/>
                <w:sz w:val="21"/>
                <w:szCs w:val="21"/>
                <w:lang w:val="en-US" w:eastAsia="zh-CN" w:bidi="ar-SA"/>
              </w:rPr>
            </w:pPr>
          </w:p>
        </w:tc>
        <w:tc>
          <w:tcPr>
            <w:tcW w:w="0" w:type="auto"/>
            <w:vAlign w:val="top"/>
          </w:tcPr>
          <w:p>
            <w:pPr>
              <w:spacing w:line="280" w:lineRule="exact"/>
              <w:rPr>
                <w:rFonts w:ascii="宋体" w:hAnsi="宋体" w:cs="宋体"/>
                <w:color w:val="000000"/>
                <w:szCs w:val="21"/>
              </w:rPr>
            </w:pPr>
            <w:r>
              <w:rPr>
                <w:rFonts w:hint="eastAsia" w:ascii="宋体" w:hAnsi="宋体" w:cs="宋体"/>
                <w:color w:val="000000"/>
                <w:szCs w:val="21"/>
              </w:rPr>
              <w:t>Q8.5.4</w:t>
            </w:r>
          </w:p>
          <w:p>
            <w:pPr>
              <w:spacing w:line="280" w:lineRule="exact"/>
              <w:rPr>
                <w:rFonts w:ascii="Times New Roman" w:hAnsi="Times New Roman" w:eastAsia="宋体" w:cs="Times New Roman"/>
                <w:b/>
                <w:color w:val="000000"/>
                <w:kern w:val="2"/>
                <w:sz w:val="21"/>
                <w:szCs w:val="21"/>
                <w:lang w:val="en-US" w:eastAsia="zh-CN" w:bidi="ar-SA"/>
              </w:rPr>
            </w:pPr>
          </w:p>
        </w:tc>
        <w:tc>
          <w:tcPr>
            <w:tcW w:w="0" w:type="auto"/>
            <w:vAlign w:val="top"/>
          </w:tcPr>
          <w:p>
            <w:pPr>
              <w:spacing w:line="280" w:lineRule="exact"/>
              <w:ind w:firstLine="420" w:firstLineChars="200"/>
              <w:rPr>
                <w:rFonts w:hint="eastAsia"/>
                <w:szCs w:val="22"/>
              </w:rPr>
            </w:pPr>
            <w:r>
              <w:rPr>
                <w:rFonts w:hint="eastAsia"/>
                <w:szCs w:val="22"/>
              </w:rPr>
              <w:t>公司</w:t>
            </w:r>
            <w:r>
              <w:rPr>
                <w:rFonts w:hint="eastAsia"/>
                <w:szCs w:val="22"/>
                <w:lang w:val="en-US" w:eastAsia="zh-CN"/>
              </w:rPr>
              <w:t>地板产品</w:t>
            </w:r>
            <w:r>
              <w:rPr>
                <w:rFonts w:hint="eastAsia"/>
                <w:szCs w:val="22"/>
              </w:rPr>
              <w:t>的销售在采购、运输和到达顾客地要</w:t>
            </w:r>
            <w:r>
              <w:rPr>
                <w:rFonts w:hint="eastAsia"/>
                <w:szCs w:val="22"/>
                <w:lang w:val="en-US" w:eastAsia="zh-CN"/>
              </w:rPr>
              <w:t>防潮、防火、防污等要求，</w:t>
            </w:r>
            <w:r>
              <w:rPr>
                <w:rFonts w:hint="eastAsia"/>
                <w:szCs w:val="22"/>
              </w:rPr>
              <w:t>轻运轻放防止损</w:t>
            </w:r>
            <w:r>
              <w:rPr>
                <w:rFonts w:hint="eastAsia"/>
                <w:szCs w:val="22"/>
                <w:lang w:val="en-US" w:eastAsia="zh-CN"/>
              </w:rPr>
              <w:t>坏</w:t>
            </w:r>
            <w:r>
              <w:rPr>
                <w:rFonts w:hint="eastAsia"/>
                <w:szCs w:val="22"/>
              </w:rPr>
              <w:t>。</w:t>
            </w:r>
          </w:p>
          <w:p>
            <w:pPr>
              <w:spacing w:line="280" w:lineRule="exact"/>
              <w:ind w:firstLine="420" w:firstLineChars="200"/>
              <w:rPr>
                <w:rFonts w:hint="eastAsia" w:ascii="Times New Roman" w:hAnsi="Times New Roman" w:eastAsia="宋体" w:cs="Times New Roman"/>
                <w:kern w:val="2"/>
                <w:sz w:val="21"/>
                <w:szCs w:val="22"/>
                <w:lang w:val="en-US" w:eastAsia="zh-CN" w:bidi="ar-SA"/>
              </w:rPr>
            </w:pPr>
            <w:r>
              <w:rPr>
                <w:rFonts w:hint="eastAsia"/>
                <w:szCs w:val="22"/>
                <w:lang w:val="en-US" w:eastAsia="zh-CN"/>
              </w:rPr>
              <w:t>以纸质外包装箱进行</w:t>
            </w:r>
            <w:r>
              <w:rPr>
                <w:rFonts w:hint="eastAsia"/>
                <w:szCs w:val="22"/>
              </w:rPr>
              <w:t>防护。</w:t>
            </w: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0" w:type="auto"/>
            <w:vAlign w:val="top"/>
          </w:tcPr>
          <w:p>
            <w:pPr>
              <w:spacing w:line="280" w:lineRule="exact"/>
              <w:rPr>
                <w:rFonts w:ascii="宋体" w:hAnsi="宋体" w:cs="宋体"/>
                <w:color w:val="000000"/>
                <w:szCs w:val="21"/>
              </w:rPr>
            </w:pPr>
            <w:r>
              <w:rPr>
                <w:rFonts w:hint="eastAsia" w:ascii="宋体" w:hAnsi="宋体" w:cs="宋体"/>
                <w:color w:val="000000"/>
                <w:szCs w:val="21"/>
              </w:rPr>
              <w:t>交付后活动</w:t>
            </w:r>
          </w:p>
          <w:p>
            <w:pPr>
              <w:spacing w:line="280" w:lineRule="exact"/>
              <w:rPr>
                <w:rFonts w:ascii="Times New Roman" w:hAnsi="Times New Roman" w:eastAsia="宋体" w:cs="Times New Roman"/>
                <w:b/>
                <w:color w:val="000000"/>
                <w:kern w:val="2"/>
                <w:sz w:val="21"/>
                <w:szCs w:val="21"/>
                <w:lang w:val="en-US" w:eastAsia="zh-CN" w:bidi="ar-SA"/>
              </w:rPr>
            </w:pPr>
          </w:p>
        </w:tc>
        <w:tc>
          <w:tcPr>
            <w:tcW w:w="0" w:type="auto"/>
            <w:vAlign w:val="top"/>
          </w:tcPr>
          <w:p>
            <w:pPr>
              <w:spacing w:line="280" w:lineRule="exact"/>
              <w:rPr>
                <w:rFonts w:ascii="Times New Roman" w:hAnsi="Times New Roman" w:eastAsia="宋体" w:cs="Times New Roman"/>
                <w:b/>
                <w:color w:val="000000"/>
                <w:kern w:val="2"/>
                <w:sz w:val="21"/>
                <w:szCs w:val="21"/>
                <w:lang w:val="en-US" w:eastAsia="zh-CN" w:bidi="ar-SA"/>
              </w:rPr>
            </w:pPr>
            <w:r>
              <w:rPr>
                <w:rFonts w:hint="eastAsia" w:ascii="宋体" w:hAnsi="宋体" w:cs="宋体"/>
                <w:color w:val="000000"/>
                <w:szCs w:val="21"/>
              </w:rPr>
              <w:t>Q8.5.5</w:t>
            </w:r>
          </w:p>
        </w:tc>
        <w:tc>
          <w:tcPr>
            <w:tcW w:w="0" w:type="auto"/>
            <w:vAlign w:val="top"/>
          </w:tcPr>
          <w:p>
            <w:pPr>
              <w:spacing w:line="280" w:lineRule="exact"/>
              <w:ind w:firstLine="420" w:firstLineChars="200"/>
              <w:rPr>
                <w:rFonts w:ascii="宋体" w:hAnsi="宋体" w:eastAsia="宋体" w:cs="宋体"/>
                <w:color w:val="000000"/>
                <w:kern w:val="2"/>
                <w:sz w:val="21"/>
                <w:szCs w:val="21"/>
                <w:lang w:val="en-US" w:eastAsia="zh-CN" w:bidi="ar-SA"/>
              </w:rPr>
            </w:pPr>
            <w:r>
              <w:rPr>
                <w:rFonts w:hint="eastAsia"/>
                <w:color w:val="000000"/>
                <w:szCs w:val="21"/>
              </w:rPr>
              <w:t>产品交付时，对客户销售人员进行使用培训，内容涉及</w:t>
            </w:r>
            <w:r>
              <w:rPr>
                <w:rFonts w:hint="eastAsia"/>
                <w:color w:val="000000"/>
                <w:szCs w:val="21"/>
                <w:lang w:val="en-US" w:eastAsia="zh-CN"/>
              </w:rPr>
              <w:t>地板</w:t>
            </w:r>
            <w:r>
              <w:rPr>
                <w:rFonts w:hint="eastAsia"/>
                <w:color w:val="000000"/>
                <w:szCs w:val="21"/>
              </w:rPr>
              <w:t>的样板册和介绍等。如客户在使用过程中出现问题，先通过电话进行解决，如远程无法解决，派专人到客户现场实地解决。</w:t>
            </w: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0" w:type="auto"/>
            <w:vAlign w:val="top"/>
          </w:tcPr>
          <w:p>
            <w:pPr>
              <w:spacing w:line="280" w:lineRule="exact"/>
              <w:rPr>
                <w:rFonts w:ascii="Times New Roman" w:hAnsi="Times New Roman" w:eastAsia="宋体" w:cs="Times New Roman"/>
                <w:b/>
                <w:color w:val="000000"/>
                <w:kern w:val="2"/>
                <w:sz w:val="21"/>
                <w:szCs w:val="21"/>
                <w:lang w:val="en-US" w:eastAsia="zh-CN" w:bidi="ar-SA"/>
              </w:rPr>
            </w:pPr>
            <w:r>
              <w:rPr>
                <w:rFonts w:hint="eastAsia" w:ascii="宋体" w:hAnsi="宋体" w:cs="Arial"/>
                <w:szCs w:val="21"/>
              </w:rPr>
              <w:t>生产和服务提供的更改控制</w:t>
            </w:r>
          </w:p>
        </w:tc>
        <w:tc>
          <w:tcPr>
            <w:tcW w:w="0" w:type="auto"/>
            <w:vAlign w:val="top"/>
          </w:tcPr>
          <w:p>
            <w:pPr>
              <w:spacing w:line="280" w:lineRule="exact"/>
              <w:rPr>
                <w:rFonts w:ascii="Times New Roman" w:hAnsi="Times New Roman" w:eastAsia="宋体" w:cs="Times New Roman"/>
                <w:b/>
                <w:color w:val="000000"/>
                <w:kern w:val="2"/>
                <w:sz w:val="21"/>
                <w:szCs w:val="21"/>
                <w:lang w:val="en-US" w:eastAsia="zh-CN" w:bidi="ar-SA"/>
              </w:rPr>
            </w:pPr>
            <w:r>
              <w:rPr>
                <w:rFonts w:hint="eastAsia" w:ascii="宋体" w:hAnsi="宋体" w:cs="宋体"/>
                <w:color w:val="000000"/>
                <w:szCs w:val="21"/>
              </w:rPr>
              <w:t>Q8.5.6</w:t>
            </w:r>
          </w:p>
        </w:tc>
        <w:tc>
          <w:tcPr>
            <w:tcW w:w="0" w:type="auto"/>
            <w:vAlign w:val="top"/>
          </w:tcPr>
          <w:p>
            <w:pPr>
              <w:spacing w:line="280" w:lineRule="exact"/>
              <w:ind w:firstLine="480" w:firstLineChars="0"/>
              <w:rPr>
                <w:rFonts w:ascii="Times New Roman" w:hAnsi="Times New Roman" w:eastAsia="宋体" w:cs="Times New Roman"/>
                <w:color w:val="000000"/>
                <w:kern w:val="2"/>
                <w:sz w:val="21"/>
                <w:szCs w:val="21"/>
                <w:lang w:val="en-US" w:eastAsia="zh-CN" w:bidi="ar-SA"/>
              </w:rPr>
            </w:pPr>
            <w:r>
              <w:rPr>
                <w:rFonts w:hint="eastAsia" w:ascii="宋体" w:hAnsi="宋体" w:cs="宋体"/>
                <w:szCs w:val="21"/>
              </w:rPr>
              <w:t>暂无销售服务更改。</w:t>
            </w: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spacing w:line="320" w:lineRule="exact"/>
              <w:ind w:right="105" w:rightChars="50"/>
              <w:textAlignment w:val="baseline"/>
              <w:rPr>
                <w:rFonts w:ascii="宋体" w:hAnsi="宋体" w:eastAsia="宋体" w:cs="Arial"/>
                <w:kern w:val="2"/>
                <w:sz w:val="21"/>
                <w:szCs w:val="21"/>
                <w:lang w:val="en-US" w:eastAsia="zh-CN" w:bidi="ar-SA"/>
              </w:rPr>
            </w:pPr>
            <w:r>
              <w:rPr>
                <w:rFonts w:hint="eastAsia" w:ascii="宋体" w:hAnsi="宋体" w:cs="Arial"/>
                <w:szCs w:val="21"/>
              </w:rPr>
              <w:t>顾客满意</w:t>
            </w:r>
          </w:p>
        </w:tc>
        <w:tc>
          <w:tcPr>
            <w:tcW w:w="0" w:type="auto"/>
            <w:vAlign w:val="top"/>
          </w:tcPr>
          <w:p>
            <w:pPr>
              <w:spacing w:line="280" w:lineRule="exact"/>
              <w:rPr>
                <w:rFonts w:ascii="宋体" w:hAnsi="宋体" w:eastAsia="宋体" w:cs="宋体"/>
                <w:color w:val="000000"/>
                <w:kern w:val="0"/>
                <w:sz w:val="21"/>
                <w:szCs w:val="21"/>
                <w:lang w:val="en-US" w:eastAsia="zh-CN" w:bidi="ar-SA"/>
              </w:rPr>
            </w:pPr>
            <w:r>
              <w:rPr>
                <w:rFonts w:hint="eastAsia" w:ascii="宋体" w:hAnsi="宋体" w:cs="Arial"/>
                <w:szCs w:val="21"/>
              </w:rPr>
              <w:t>9.1.2</w:t>
            </w:r>
          </w:p>
        </w:tc>
        <w:tc>
          <w:tcPr>
            <w:tcW w:w="0" w:type="auto"/>
            <w:vAlign w:val="top"/>
          </w:tcPr>
          <w:p>
            <w:pPr>
              <w:spacing w:line="280" w:lineRule="exact"/>
              <w:ind w:firstLine="420" w:firstLineChars="200"/>
              <w:rPr>
                <w:color w:val="000000"/>
                <w:szCs w:val="21"/>
              </w:rPr>
            </w:pPr>
            <w:r>
              <w:rPr>
                <w:rFonts w:hint="eastAsia"/>
                <w:color w:val="000000"/>
                <w:szCs w:val="21"/>
              </w:rPr>
              <w:t>公司已建立和保持了《顾客满意度监测管理程序》，对顾客满意的监测的相关内容进行了规定，其包括了对调查信息来源、信息收集、信息分析等。</w:t>
            </w:r>
          </w:p>
          <w:p>
            <w:pPr>
              <w:spacing w:line="280" w:lineRule="exact"/>
              <w:ind w:firstLine="420" w:firstLineChars="200"/>
              <w:rPr>
                <w:rFonts w:hint="eastAsia"/>
                <w:color w:val="000000"/>
                <w:szCs w:val="21"/>
              </w:rPr>
            </w:pPr>
            <w:r>
              <w:rPr>
                <w:rFonts w:hint="eastAsia"/>
                <w:color w:val="000000"/>
                <w:szCs w:val="21"/>
              </w:rPr>
              <w:t>公司于内审前采取对主要顾客进行满意度调查的形式，共发出</w:t>
            </w:r>
            <w:r>
              <w:rPr>
                <w:rFonts w:hint="eastAsia"/>
                <w:color w:val="000000"/>
                <w:szCs w:val="21"/>
                <w:lang w:val="en-US" w:eastAsia="zh-CN"/>
              </w:rPr>
              <w:t>2</w:t>
            </w:r>
            <w:r>
              <w:rPr>
                <w:rFonts w:hint="eastAsia"/>
                <w:color w:val="000000"/>
                <w:szCs w:val="21"/>
              </w:rPr>
              <w:t>份《顾客满意度/意见调查征询表》，有效回收：</w:t>
            </w:r>
          </w:p>
          <w:p>
            <w:pPr>
              <w:spacing w:line="280" w:lineRule="exact"/>
              <w:ind w:firstLine="480" w:firstLineChars="200"/>
              <w:rPr>
                <w:rFonts w:hint="eastAsia"/>
                <w:color w:val="000000"/>
                <w:szCs w:val="21"/>
              </w:rPr>
            </w:pPr>
            <w:r>
              <w:rPr>
                <w:rFonts w:hint="eastAsia" w:ascii="宋体" w:hAnsi="宋体" w:cs="宋体"/>
                <w:sz w:val="24"/>
              </w:rPr>
              <w:t>Bella Flooring Plus</w:t>
            </w:r>
            <w:r>
              <w:rPr>
                <w:rFonts w:hint="eastAsia"/>
                <w:color w:val="000000"/>
                <w:szCs w:val="21"/>
              </w:rPr>
              <w:t>等</w:t>
            </w:r>
            <w:r>
              <w:rPr>
                <w:rFonts w:hint="eastAsia"/>
                <w:color w:val="000000"/>
                <w:szCs w:val="21"/>
                <w:lang w:val="en-US" w:eastAsia="zh-CN"/>
              </w:rPr>
              <w:t>2</w:t>
            </w:r>
            <w:r>
              <w:rPr>
                <w:rFonts w:hint="eastAsia"/>
                <w:color w:val="000000"/>
                <w:szCs w:val="21"/>
              </w:rPr>
              <w:t>家，回收率100%。</w:t>
            </w:r>
          </w:p>
          <w:p>
            <w:pPr>
              <w:spacing w:line="280" w:lineRule="exact"/>
              <w:ind w:firstLine="420" w:firstLineChars="200"/>
              <w:rPr>
                <w:rFonts w:hint="eastAsia"/>
                <w:color w:val="000000"/>
                <w:szCs w:val="21"/>
              </w:rPr>
            </w:pPr>
            <w:r>
              <w:rPr>
                <w:rFonts w:hint="eastAsia"/>
                <w:color w:val="000000"/>
                <w:szCs w:val="21"/>
              </w:rPr>
              <w:t>调查内容有：产品满意程度、服务满意程度等，查阅《顾客满意度/意见调查征询表》。</w:t>
            </w:r>
          </w:p>
          <w:p>
            <w:pPr>
              <w:spacing w:line="280" w:lineRule="exact"/>
              <w:ind w:firstLine="420" w:firstLineChars="200"/>
              <w:rPr>
                <w:rFonts w:hint="eastAsia"/>
                <w:color w:val="000000"/>
                <w:szCs w:val="21"/>
              </w:rPr>
            </w:pPr>
            <w:r>
              <w:rPr>
                <w:rFonts w:hint="eastAsia"/>
                <w:color w:val="000000"/>
                <w:szCs w:val="21"/>
              </w:rPr>
              <w:t>对每一调查内容按百分制统计和计算。</w:t>
            </w:r>
          </w:p>
          <w:p>
            <w:pPr>
              <w:spacing w:line="280" w:lineRule="exact"/>
              <w:ind w:firstLine="420" w:firstLineChars="200"/>
              <w:rPr>
                <w:rFonts w:hint="eastAsia"/>
                <w:color w:val="000000"/>
                <w:szCs w:val="21"/>
              </w:rPr>
            </w:pPr>
            <w:r>
              <w:rPr>
                <w:rFonts w:hint="eastAsia"/>
                <w:color w:val="000000"/>
                <w:szCs w:val="21"/>
              </w:rPr>
              <w:t>查《顾客满意度/意见调查征询表》，记录真实有效。</w:t>
            </w:r>
          </w:p>
          <w:p>
            <w:pPr>
              <w:spacing w:line="280" w:lineRule="exact"/>
              <w:ind w:firstLine="420" w:firstLineChars="200"/>
              <w:rPr>
                <w:color w:val="000000"/>
                <w:szCs w:val="21"/>
              </w:rPr>
            </w:pPr>
            <w:r>
              <w:rPr>
                <w:rFonts w:hint="eastAsia"/>
                <w:color w:val="000000"/>
                <w:szCs w:val="21"/>
              </w:rPr>
              <w:t>提供《顾客满意率统计表》，顾客满意率达</w:t>
            </w:r>
            <w:r>
              <w:rPr>
                <w:rFonts w:hint="eastAsia"/>
                <w:color w:val="000000"/>
                <w:szCs w:val="21"/>
                <w:lang w:val="en-US" w:eastAsia="zh-CN"/>
              </w:rPr>
              <w:t>95</w:t>
            </w:r>
            <w:r>
              <w:rPr>
                <w:rFonts w:hint="eastAsia"/>
                <w:color w:val="000000"/>
                <w:szCs w:val="21"/>
              </w:rPr>
              <w:t>%，达到了质量目标的要求。</w:t>
            </w:r>
          </w:p>
          <w:p>
            <w:pPr>
              <w:spacing w:line="280" w:lineRule="exact"/>
              <w:ind w:firstLine="420" w:firstLineChars="200"/>
              <w:rPr>
                <w:rFonts w:ascii="Times New Roman" w:hAnsi="Times New Roman" w:eastAsia="宋体" w:cs="Times New Roman"/>
                <w:color w:val="000000"/>
                <w:kern w:val="2"/>
                <w:sz w:val="21"/>
                <w:szCs w:val="21"/>
                <w:lang w:val="en-US" w:eastAsia="zh-CN" w:bidi="ar-SA"/>
              </w:rPr>
            </w:pPr>
            <w:r>
              <w:rPr>
                <w:rFonts w:hint="eastAsia"/>
                <w:color w:val="000000"/>
                <w:szCs w:val="21"/>
              </w:rPr>
              <w:t>调查未发现有顾客投诉。</w:t>
            </w:r>
          </w:p>
        </w:tc>
        <w:tc>
          <w:tcPr>
            <w:tcW w:w="0" w:type="auto"/>
            <w:vAlign w:val="top"/>
          </w:tcPr>
          <w:p>
            <w:pPr>
              <w:rPr>
                <w:rFonts w:ascii="Times New Roman" w:hAnsi="Times New Roman" w:eastAsia="宋体" w:cs="Times New Roman"/>
                <w:kern w:val="2"/>
                <w:sz w:val="21"/>
                <w:lang w:val="en-US" w:eastAsia="zh-CN" w:bidi="ar-SA"/>
              </w:rPr>
            </w:p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6350" b="254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1EBF1F"/>
    <w:multiLevelType w:val="singleLevel"/>
    <w:tmpl w:val="701EBF1F"/>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1752AB"/>
    <w:rsid w:val="3C0C2317"/>
    <w:rsid w:val="3D5B3399"/>
    <w:rsid w:val="5A7D26ED"/>
    <w:rsid w:val="61E83190"/>
    <w:rsid w:val="66DE63BD"/>
    <w:rsid w:val="71F24248"/>
    <w:rsid w:val="72CF45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spacing w:line="400" w:lineRule="atLeast"/>
      <w:jc w:val="center"/>
      <w:outlineLvl w:val="1"/>
    </w:pPr>
    <w:rPr>
      <w:spacing w:val="8"/>
      <w:sz w:val="36"/>
      <w:szCs w:val="20"/>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0"/>
    <w:pPr>
      <w:adjustRightInd w:val="0"/>
      <w:snapToGrid w:val="0"/>
    </w:pPr>
    <w:rPr>
      <w:rFonts w:ascii="Times New Roman"/>
      <w:w w:val="80"/>
      <w:sz w:val="24"/>
    </w:rPr>
  </w:style>
  <w:style w:type="paragraph" w:styleId="5">
    <w:name w:val="Body Text Indent"/>
    <w:basedOn w:val="1"/>
    <w:qFormat/>
    <w:uiPriority w:val="0"/>
    <w:pPr>
      <w:ind w:left="360"/>
    </w:pPr>
    <w:rPr>
      <w:sz w:val="20"/>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森林</cp:lastModifiedBy>
  <dcterms:modified xsi:type="dcterms:W3CDTF">2022-01-11T08:05:38Z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E13C6D5AB2B2442098A92898CDC7088A</vt:lpwstr>
  </property>
  <property fmtid="{D5CDD505-2E9C-101B-9397-08002B2CF9AE}" pid="3" name="KSOProductBuildVer">
    <vt:lpwstr>2052-11.1.0.11294</vt:lpwstr>
  </property>
</Properties>
</file>