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无锡市森大竹木业有限公司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Q：06.02.01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E：06.02.01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O：06.02.01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叶默琰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06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.02.01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王献华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实木：分选-修补-砂光-开槽-油漆-包装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实木竹木复合：分片-压贴-修补-砂光-开槽-油漆-包装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特殊过程：涂漆过程；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控制：胶辊涂漆线，设置辊行进速度、传送带行进速度；调试上胶量（涂料流量），通过首检确定产品上胶量；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涂漆产生废气，措施：通过废气处理设施收集通过活性碳吸附和光氧催化处理；  木加工过程产生粉尘，措施：粉尘收集装置，资源化再利用； 处理后的活性碳和油漆桶固废处置，措施：交有资质的处理单位处置；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物理因素：机加工机械伤害、设备产生噪声危害、粉尘，措施：机械伤害加强人员安全培训、作业场所制定安全作业操作规程及警示牌； 人员配戴防护设施； 产生粉尘设备安装收集装置； 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化学危害：涂胶生产线产生的VOC、二甲苯等废气，措施：涂胶生产线安装废气收集装置；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LY/T 1738-2020《实木复合地板用胶合板》、客户要求《环境保护法》、《</w:t>
            </w:r>
            <w:r>
              <w:rPr>
                <w:rFonts w:hint="default"/>
                <w:b/>
                <w:sz w:val="20"/>
                <w:lang w:val="en-US" w:eastAsia="zh-CN"/>
              </w:rPr>
              <w:t>中华人民共和国固体废物污染环境防治法》</w:t>
            </w:r>
            <w:r>
              <w:rPr>
                <w:rFonts w:hint="eastAsia"/>
                <w:b/>
                <w:sz w:val="20"/>
                <w:lang w:val="en-US" w:eastAsia="zh-CN"/>
              </w:rPr>
              <w:t>、《国家危险废物名录》、GB16297-1996《大气污染物综合排放标准》、GB12348-2008《工业企业厂界环境噪声排放标准》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经与企业确认，目前产品主要出口，按客户要求进行检验内部控制；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客户订单技术要求； 设备操作使用说明书等；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林兵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2021-1-8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2BE4D45"/>
    <w:rsid w:val="3C886AC5"/>
    <w:rsid w:val="4D9B0400"/>
    <w:rsid w:val="572060DC"/>
    <w:rsid w:val="61A339B3"/>
    <w:rsid w:val="77E23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2022-01-11T02:23:43Z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