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安徽江皖机械制造有限公司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0283-2019-Q-2021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2020-N1QMS-2219448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none"/>
                <w:lang w:val="en-US" w:eastAsia="zh-CN"/>
              </w:rPr>
            </w:pPr>
            <w:r>
              <w:rPr>
                <w:rFonts w:hint="eastAsia"/>
                <w:b/>
                <w:sz w:val="22"/>
                <w:szCs w:val="22"/>
                <w:highlight w:val="none"/>
                <w:lang w:val="en-US" w:eastAsia="zh-CN"/>
              </w:rPr>
              <w:t>汪家辉</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snapToGrid w:val="0"/>
              <w:spacing w:line="320" w:lineRule="exact"/>
              <w:ind w:left="1309"/>
              <w:rPr>
                <w:b/>
                <w:sz w:val="22"/>
                <w:szCs w:val="22"/>
                <w:highlight w:val="yellow"/>
              </w:rPr>
            </w:pPr>
            <w:r>
              <w:rPr>
                <w:sz w:val="20"/>
                <w:lang w:val="de-DE"/>
              </w:rPr>
              <w:t>2021-N0QMS-1286656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2021.12.16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2021.12.16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2021.12.16</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9768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2021-12-15T08:13:51Z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