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隶书" w:hAnsi="宋体" w:eastAsia="隶书"/>
          <w:bCs/>
          <w:color w:val="000000"/>
          <w:sz w:val="40"/>
          <w:szCs w:val="40"/>
        </w:rPr>
      </w:pPr>
      <w:r>
        <w:rPr>
          <w:rFonts w:hint="eastAsia" w:ascii="隶书" w:hAnsi="宋体" w:eastAsia="隶书"/>
          <w:bCs/>
          <w:color w:val="000000"/>
          <w:sz w:val="40"/>
          <w:szCs w:val="40"/>
        </w:rPr>
        <w:t>管理体系审核记录表</w:t>
      </w:r>
    </w:p>
    <w:tbl>
      <w:tblPr>
        <w:tblStyle w:val="1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1318"/>
        <w:gridCol w:w="10056"/>
        <w:gridCol w:w="15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vMerge w:val="restart"/>
            <w:tcBorders>
              <w:top w:val="single" w:color="auto" w:sz="8" w:space="0"/>
              <w:bottom w:val="single" w:color="auto" w:sz="4" w:space="0"/>
            </w:tcBorders>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spacing w:before="120"/>
              <w:jc w:val="center"/>
              <w:rPr>
                <w:rFonts w:ascii="楷体" w:hAnsi="楷体" w:eastAsia="楷体"/>
                <w:sz w:val="24"/>
                <w:szCs w:val="24"/>
              </w:rPr>
            </w:pPr>
            <w:r>
              <w:rPr>
                <w:rFonts w:hint="eastAsia" w:ascii="楷体" w:hAnsi="楷体" w:eastAsia="楷体"/>
                <w:sz w:val="24"/>
                <w:szCs w:val="24"/>
              </w:rPr>
              <w:t>抽样计划</w:t>
            </w:r>
          </w:p>
        </w:tc>
        <w:tc>
          <w:tcPr>
            <w:tcW w:w="1318" w:type="dxa"/>
            <w:vMerge w:val="restart"/>
            <w:tcBorders>
              <w:top w:val="single" w:color="auto" w:sz="8" w:space="0"/>
              <w:bottom w:val="single" w:color="auto" w:sz="4" w:space="0"/>
            </w:tcBorders>
            <w:vAlign w:val="center"/>
          </w:tcPr>
          <w:p>
            <w:pPr>
              <w:spacing w:line="360" w:lineRule="auto"/>
              <w:jc w:val="center"/>
              <w:rPr>
                <w:rFonts w:ascii="楷体" w:hAnsi="楷体" w:eastAsia="楷体"/>
                <w:sz w:val="24"/>
                <w:szCs w:val="24"/>
              </w:rPr>
            </w:pPr>
            <w:r>
              <w:rPr>
                <w:rFonts w:hint="eastAsia" w:ascii="楷体" w:hAnsi="楷体" w:eastAsia="楷体"/>
                <w:sz w:val="24"/>
                <w:szCs w:val="24"/>
              </w:rPr>
              <w:t>涉及条款</w:t>
            </w:r>
          </w:p>
        </w:tc>
        <w:tc>
          <w:tcPr>
            <w:tcW w:w="10056" w:type="dxa"/>
            <w:tcBorders>
              <w:top w:val="single" w:color="auto" w:sz="8" w:space="0"/>
              <w:bottom w:val="single" w:color="auto" w:sz="4" w:space="0"/>
            </w:tcBorders>
            <w:vAlign w:val="center"/>
          </w:tcPr>
          <w:p>
            <w:pPr>
              <w:rPr>
                <w:rFonts w:ascii="楷体" w:hAnsi="楷体" w:eastAsia="楷体"/>
                <w:sz w:val="24"/>
                <w:szCs w:val="24"/>
              </w:rPr>
            </w:pPr>
            <w:r>
              <w:rPr>
                <w:rFonts w:hint="eastAsia" w:ascii="楷体" w:hAnsi="楷体" w:eastAsia="楷体"/>
                <w:sz w:val="24"/>
                <w:szCs w:val="24"/>
              </w:rPr>
              <w:t xml:space="preserve">受审核部门：综合部 </w:t>
            </w:r>
            <w:r>
              <w:rPr>
                <w:rFonts w:ascii="楷体" w:hAnsi="楷体" w:eastAsia="楷体"/>
                <w:sz w:val="24"/>
                <w:szCs w:val="24"/>
              </w:rPr>
              <w:t xml:space="preserve">   </w:t>
            </w:r>
            <w:r>
              <w:rPr>
                <w:rFonts w:hint="eastAsia" w:ascii="楷体" w:hAnsi="楷体" w:eastAsia="楷体"/>
                <w:sz w:val="24"/>
                <w:szCs w:val="24"/>
                <w:lang w:val="en-US" w:eastAsia="zh-CN"/>
              </w:rPr>
              <w:t xml:space="preserve">   </w:t>
            </w:r>
            <w:r>
              <w:rPr>
                <w:rFonts w:hint="eastAsia" w:ascii="楷体" w:hAnsi="楷体" w:eastAsia="楷体"/>
                <w:sz w:val="24"/>
                <w:szCs w:val="24"/>
              </w:rPr>
              <w:t xml:space="preserve">主管领导：林森泉 </w:t>
            </w:r>
            <w:r>
              <w:rPr>
                <w:rFonts w:ascii="楷体" w:hAnsi="楷体" w:eastAsia="楷体"/>
                <w:sz w:val="24"/>
                <w:szCs w:val="24"/>
              </w:rPr>
              <w:t xml:space="preserve"> </w:t>
            </w:r>
            <w:r>
              <w:rPr>
                <w:rFonts w:hint="eastAsia" w:ascii="楷体" w:hAnsi="楷体" w:eastAsia="楷体"/>
                <w:sz w:val="24"/>
                <w:szCs w:val="24"/>
                <w:lang w:val="en-US" w:eastAsia="zh-CN"/>
              </w:rPr>
              <w:t xml:space="preserve">      </w:t>
            </w:r>
            <w:r>
              <w:rPr>
                <w:rFonts w:hint="eastAsia" w:ascii="楷体" w:hAnsi="楷体" w:eastAsia="楷体"/>
                <w:sz w:val="24"/>
                <w:szCs w:val="24"/>
              </w:rPr>
              <w:t>陪同人员：</w:t>
            </w:r>
            <w:r>
              <w:rPr>
                <w:rFonts w:hint="eastAsia" w:ascii="楷体" w:hAnsi="楷体" w:eastAsia="楷体" w:cs="Times New Roman"/>
                <w:sz w:val="24"/>
                <w:szCs w:val="24"/>
                <w:lang w:val="en-US" w:eastAsia="zh-CN"/>
              </w:rPr>
              <w:t>黄惠泉</w:t>
            </w:r>
          </w:p>
        </w:tc>
        <w:tc>
          <w:tcPr>
            <w:tcW w:w="1593" w:type="dxa"/>
            <w:vMerge w:val="restart"/>
            <w:tcBorders>
              <w:top w:val="single" w:color="auto" w:sz="8" w:space="0"/>
              <w:bottom w:val="single" w:color="auto" w:sz="4" w:space="0"/>
            </w:tcBorders>
            <w:vAlign w:val="center"/>
          </w:tcPr>
          <w:p>
            <w:pPr>
              <w:spacing w:line="360" w:lineRule="auto"/>
              <w:jc w:val="center"/>
              <w:rPr>
                <w:rFonts w:ascii="楷体" w:hAnsi="楷体" w:eastAsia="楷体"/>
                <w:sz w:val="24"/>
                <w:szCs w:val="24"/>
              </w:rPr>
            </w:pPr>
            <w:r>
              <w:rPr>
                <w:rFonts w:hint="eastAsia" w:ascii="楷体" w:hAnsi="楷体" w:eastAsia="楷体"/>
                <w:sz w:val="24"/>
                <w:szCs w:val="24"/>
              </w:rPr>
              <w:t>判定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vMerge w:val="continue"/>
            <w:tcBorders>
              <w:top w:val="single" w:color="auto" w:sz="4" w:space="0"/>
              <w:bottom w:val="single" w:color="auto" w:sz="4" w:space="0"/>
            </w:tcBorders>
          </w:tcPr>
          <w:p>
            <w:pPr>
              <w:spacing w:line="360" w:lineRule="auto"/>
              <w:rPr>
                <w:rFonts w:ascii="楷体" w:hAnsi="楷体" w:eastAsia="楷体"/>
                <w:sz w:val="24"/>
                <w:szCs w:val="24"/>
              </w:rPr>
            </w:pPr>
          </w:p>
        </w:tc>
        <w:tc>
          <w:tcPr>
            <w:tcW w:w="1318" w:type="dxa"/>
            <w:vMerge w:val="continue"/>
            <w:tcBorders>
              <w:top w:val="single" w:color="auto" w:sz="4" w:space="0"/>
              <w:bottom w:val="single" w:color="auto" w:sz="4" w:space="0"/>
            </w:tcBorders>
          </w:tcPr>
          <w:p>
            <w:pPr>
              <w:spacing w:line="360" w:lineRule="auto"/>
              <w:rPr>
                <w:rFonts w:ascii="楷体" w:hAnsi="楷体" w:eastAsia="楷体"/>
                <w:sz w:val="24"/>
                <w:szCs w:val="24"/>
              </w:rPr>
            </w:pPr>
          </w:p>
        </w:tc>
        <w:tc>
          <w:tcPr>
            <w:tcW w:w="10056" w:type="dxa"/>
            <w:tcBorders>
              <w:top w:val="single" w:color="auto" w:sz="4" w:space="0"/>
              <w:bottom w:val="single" w:color="auto" w:sz="4" w:space="0"/>
            </w:tcBorders>
            <w:vAlign w:val="center"/>
          </w:tcPr>
          <w:p>
            <w:pPr>
              <w:spacing w:before="120" w:line="360" w:lineRule="auto"/>
              <w:rPr>
                <w:rFonts w:hint="eastAsia" w:ascii="楷体" w:hAnsi="楷体" w:eastAsia="楷体"/>
                <w:sz w:val="24"/>
                <w:szCs w:val="24"/>
                <w:lang w:eastAsia="zh-CN"/>
              </w:rPr>
            </w:pPr>
            <w:r>
              <w:rPr>
                <w:rFonts w:hint="eastAsia" w:ascii="楷体" w:hAnsi="楷体" w:eastAsia="楷体"/>
                <w:sz w:val="24"/>
                <w:szCs w:val="24"/>
              </w:rPr>
              <w:t xml:space="preserve">审核员：汪桂丽、宋翠琳（EO实习）    </w:t>
            </w:r>
            <w:r>
              <w:rPr>
                <w:rFonts w:hint="eastAsia" w:ascii="楷体" w:hAnsi="楷体" w:eastAsia="楷体"/>
                <w:sz w:val="24"/>
                <w:szCs w:val="24"/>
                <w:lang w:val="en-US" w:eastAsia="zh-CN"/>
              </w:rPr>
              <w:t xml:space="preserve">            </w:t>
            </w:r>
            <w:r>
              <w:rPr>
                <w:rFonts w:hint="eastAsia" w:ascii="楷体" w:hAnsi="楷体" w:eastAsia="楷体"/>
                <w:sz w:val="24"/>
                <w:szCs w:val="24"/>
              </w:rPr>
              <w:t>审核时间：</w:t>
            </w:r>
            <w:r>
              <w:rPr>
                <w:rFonts w:ascii="楷体" w:hAnsi="楷体" w:eastAsia="楷体"/>
                <w:sz w:val="24"/>
                <w:szCs w:val="24"/>
              </w:rPr>
              <w:t>2021.12.1</w:t>
            </w:r>
            <w:r>
              <w:rPr>
                <w:rFonts w:hint="eastAsia" w:ascii="楷体" w:hAnsi="楷体" w:eastAsia="楷体"/>
                <w:sz w:val="24"/>
                <w:szCs w:val="24"/>
                <w:lang w:val="en-US" w:eastAsia="zh-CN"/>
              </w:rPr>
              <w:t>5</w:t>
            </w:r>
          </w:p>
        </w:tc>
        <w:tc>
          <w:tcPr>
            <w:tcW w:w="1593" w:type="dxa"/>
            <w:vMerge w:val="continue"/>
            <w:tcBorders>
              <w:top w:val="single" w:color="auto" w:sz="4" w:space="0"/>
              <w:bottom w:val="single" w:color="auto" w:sz="4" w:space="0"/>
            </w:tcBorders>
          </w:tcPr>
          <w:p>
            <w:pPr>
              <w:spacing w:line="360" w:lineRule="auto"/>
              <w:jc w:val="center"/>
              <w:rPr>
                <w:rFonts w:ascii="楷体" w:hAnsi="楷体" w:eastAsia="楷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vMerge w:val="continue"/>
            <w:tcBorders>
              <w:top w:val="single" w:color="auto" w:sz="4" w:space="0"/>
              <w:bottom w:val="single" w:color="auto" w:sz="8" w:space="0"/>
            </w:tcBorders>
          </w:tcPr>
          <w:p>
            <w:pPr>
              <w:spacing w:line="360" w:lineRule="auto"/>
              <w:rPr>
                <w:rFonts w:ascii="楷体" w:hAnsi="楷体" w:eastAsia="楷体"/>
                <w:sz w:val="24"/>
                <w:szCs w:val="24"/>
              </w:rPr>
            </w:pPr>
          </w:p>
        </w:tc>
        <w:tc>
          <w:tcPr>
            <w:tcW w:w="1318" w:type="dxa"/>
            <w:vMerge w:val="continue"/>
            <w:tcBorders>
              <w:top w:val="single" w:color="auto" w:sz="4" w:space="0"/>
              <w:bottom w:val="single" w:color="auto" w:sz="8" w:space="0"/>
            </w:tcBorders>
          </w:tcPr>
          <w:p>
            <w:pPr>
              <w:spacing w:line="360" w:lineRule="auto"/>
              <w:rPr>
                <w:rFonts w:ascii="楷体" w:hAnsi="楷体" w:eastAsia="楷体"/>
                <w:sz w:val="24"/>
                <w:szCs w:val="24"/>
              </w:rPr>
            </w:pPr>
          </w:p>
        </w:tc>
        <w:tc>
          <w:tcPr>
            <w:tcW w:w="10056" w:type="dxa"/>
            <w:tcBorders>
              <w:top w:val="single" w:color="auto" w:sz="4" w:space="0"/>
              <w:bottom w:val="single" w:color="auto" w:sz="8" w:space="0"/>
            </w:tcBorders>
            <w:vAlign w:val="center"/>
          </w:tcPr>
          <w:p>
            <w:pPr>
              <w:adjustRightInd w:val="0"/>
              <w:snapToGrid w:val="0"/>
              <w:spacing w:line="240" w:lineRule="exact"/>
              <w:ind w:right="105" w:rightChars="50"/>
              <w:jc w:val="left"/>
              <w:textAlignment w:val="baseline"/>
              <w:rPr>
                <w:rFonts w:hint="eastAsia" w:ascii="宋体" w:hAnsi="宋体" w:cs="Arial"/>
                <w:spacing w:val="-6"/>
                <w:sz w:val="21"/>
                <w:szCs w:val="21"/>
              </w:rPr>
            </w:pPr>
            <w:r>
              <w:rPr>
                <w:rFonts w:hint="eastAsia" w:ascii="楷体" w:hAnsi="楷体" w:eastAsia="楷体"/>
                <w:szCs w:val="21"/>
              </w:rPr>
              <w:t>审核条款：</w:t>
            </w:r>
            <w:r>
              <w:rPr>
                <w:rFonts w:hint="eastAsia" w:ascii="宋体" w:hAnsi="宋体" w:cs="Arial"/>
                <w:b/>
                <w:bCs/>
                <w:spacing w:val="-6"/>
                <w:sz w:val="21"/>
                <w:szCs w:val="21"/>
              </w:rPr>
              <w:t>QMS:</w:t>
            </w:r>
            <w:r>
              <w:rPr>
                <w:rFonts w:hint="eastAsia" w:ascii="宋体" w:hAnsi="宋体" w:cs="Arial"/>
                <w:spacing w:val="-6"/>
                <w:sz w:val="21"/>
                <w:szCs w:val="21"/>
              </w:rPr>
              <w:t xml:space="preserve"> 5.3组织的岗位、职责和权限、6.2质量目标及其实现策划、</w:t>
            </w:r>
            <w:r>
              <w:rPr>
                <w:rFonts w:hint="eastAsia" w:ascii="宋体" w:hAnsi="宋体" w:cs="Arial"/>
                <w:spacing w:val="-6"/>
                <w:sz w:val="21"/>
                <w:szCs w:val="21"/>
                <w:lang w:val="en-US" w:eastAsia="zh-CN"/>
              </w:rPr>
              <w:t>7</w:t>
            </w:r>
            <w:r>
              <w:rPr>
                <w:rFonts w:hint="eastAsia" w:ascii="宋体" w:hAnsi="宋体" w:cs="Arial"/>
                <w:spacing w:val="-6"/>
                <w:sz w:val="21"/>
                <w:szCs w:val="21"/>
              </w:rPr>
              <w:t>.1.5监视和测量资源、7.2能力、9.1.1监视、测量、分析和评价总则、9.1.3分析与评价、9.2 内部审核</w:t>
            </w:r>
            <w:r>
              <w:rPr>
                <w:rFonts w:hint="eastAsia" w:ascii="宋体" w:hAnsi="宋体" w:cs="Arial"/>
                <w:spacing w:val="-6"/>
                <w:sz w:val="21"/>
                <w:szCs w:val="21"/>
                <w:lang w:eastAsia="zh-CN"/>
              </w:rPr>
              <w:t>、</w:t>
            </w:r>
            <w:r>
              <w:rPr>
                <w:rFonts w:hint="eastAsia" w:ascii="宋体" w:hAnsi="宋体" w:cs="Arial"/>
                <w:spacing w:val="-6"/>
                <w:sz w:val="21"/>
                <w:szCs w:val="21"/>
              </w:rPr>
              <w:t xml:space="preserve">10.2不合格和纠正措施； </w:t>
            </w:r>
          </w:p>
          <w:p>
            <w:pPr>
              <w:adjustRightInd w:val="0"/>
              <w:snapToGrid w:val="0"/>
              <w:spacing w:line="240" w:lineRule="exact"/>
              <w:ind w:right="105" w:rightChars="50"/>
              <w:jc w:val="left"/>
              <w:textAlignment w:val="baseline"/>
              <w:rPr>
                <w:rFonts w:hint="eastAsia" w:ascii="宋体" w:hAnsi="宋体" w:cs="Arial"/>
                <w:b/>
                <w:bCs/>
                <w:spacing w:val="-6"/>
                <w:sz w:val="21"/>
                <w:szCs w:val="21"/>
              </w:rPr>
            </w:pPr>
          </w:p>
          <w:p>
            <w:pPr>
              <w:adjustRightInd w:val="0"/>
              <w:snapToGrid w:val="0"/>
              <w:spacing w:line="240" w:lineRule="exact"/>
              <w:ind w:right="105" w:rightChars="50"/>
              <w:jc w:val="left"/>
              <w:textAlignment w:val="baseline"/>
              <w:rPr>
                <w:rFonts w:hint="eastAsia" w:ascii="宋体" w:hAnsi="宋体" w:eastAsia="宋体" w:cs="Arial"/>
                <w:spacing w:val="-6"/>
                <w:sz w:val="21"/>
                <w:szCs w:val="21"/>
                <w:lang w:eastAsia="zh-CN"/>
              </w:rPr>
            </w:pPr>
            <w:r>
              <w:rPr>
                <w:rFonts w:hint="eastAsia" w:ascii="宋体" w:hAnsi="宋体" w:cs="Arial"/>
                <w:b/>
                <w:bCs/>
                <w:spacing w:val="-6"/>
                <w:sz w:val="21"/>
                <w:szCs w:val="21"/>
              </w:rPr>
              <w:t>E/OMS:</w:t>
            </w:r>
            <w:r>
              <w:rPr>
                <w:rFonts w:hint="eastAsia" w:ascii="宋体" w:hAnsi="宋体" w:cs="Arial"/>
                <w:spacing w:val="-6"/>
                <w:sz w:val="21"/>
                <w:szCs w:val="21"/>
              </w:rPr>
              <w:t xml:space="preserve"> 5.3组织的岗位、职责和权限、6.1.2环境因素/危险源的辨识与评价、6.1.3合规义务、6.1.4措施的策划、6.2.1环境/职业健康安全目标、6.2.2实现环境/职业健康安全目标措施的策划、7.2能力、 9.1监视、测量、分析和评价（9.1.1总则、9.1.2合规性评价）、9.2 内部审核</w:t>
            </w:r>
            <w:r>
              <w:rPr>
                <w:rFonts w:hint="eastAsia" w:ascii="宋体" w:hAnsi="宋体" w:cs="Arial"/>
                <w:spacing w:val="-6"/>
                <w:sz w:val="21"/>
                <w:szCs w:val="21"/>
                <w:lang w:eastAsia="zh-CN"/>
              </w:rPr>
              <w:t>、</w:t>
            </w:r>
            <w:r>
              <w:rPr>
                <w:rFonts w:hint="eastAsia" w:ascii="宋体" w:hAnsi="宋体" w:cs="Arial"/>
                <w:spacing w:val="-6"/>
                <w:sz w:val="21"/>
                <w:szCs w:val="21"/>
              </w:rPr>
              <w:t>10.2不符合/事件和纠正措施</w:t>
            </w:r>
            <w:r>
              <w:rPr>
                <w:rFonts w:hint="eastAsia" w:ascii="宋体" w:hAnsi="宋体" w:cs="Arial"/>
                <w:spacing w:val="-6"/>
                <w:sz w:val="21"/>
                <w:szCs w:val="21"/>
                <w:lang w:eastAsia="zh-CN"/>
              </w:rPr>
              <w:t>；</w:t>
            </w:r>
          </w:p>
          <w:p>
            <w:pPr>
              <w:adjustRightInd w:val="0"/>
              <w:snapToGrid w:val="0"/>
              <w:ind w:right="105" w:rightChars="50"/>
              <w:jc w:val="left"/>
              <w:textAlignment w:val="baseline"/>
              <w:rPr>
                <w:rFonts w:ascii="楷体" w:hAnsi="楷体" w:eastAsia="楷体"/>
                <w:sz w:val="24"/>
                <w:szCs w:val="24"/>
              </w:rPr>
            </w:pPr>
          </w:p>
        </w:tc>
        <w:tc>
          <w:tcPr>
            <w:tcW w:w="1593" w:type="dxa"/>
            <w:vMerge w:val="continue"/>
            <w:tcBorders>
              <w:top w:val="single" w:color="auto" w:sz="4" w:space="0"/>
              <w:bottom w:val="single" w:color="auto" w:sz="8" w:space="0"/>
            </w:tcBorders>
          </w:tcPr>
          <w:p>
            <w:pPr>
              <w:spacing w:line="360" w:lineRule="auto"/>
              <w:jc w:val="center"/>
              <w:rPr>
                <w:rFonts w:ascii="楷体" w:hAnsi="楷体" w:eastAsia="楷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tcBorders>
              <w:top w:val="single" w:color="auto" w:sz="8" w:space="0"/>
            </w:tcBorders>
          </w:tcPr>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组织的岗位职责和权限</w:t>
            </w:r>
          </w:p>
        </w:tc>
        <w:tc>
          <w:tcPr>
            <w:tcW w:w="1318" w:type="dxa"/>
            <w:tcBorders>
              <w:top w:val="single" w:color="auto" w:sz="8" w:space="0"/>
            </w:tcBorders>
          </w:tcPr>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QEO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5.3</w:t>
            </w:r>
          </w:p>
        </w:tc>
        <w:tc>
          <w:tcPr>
            <w:tcW w:w="10056" w:type="dxa"/>
            <w:tcBorders>
              <w:top w:val="single" w:color="auto" w:sz="8" w:space="0"/>
            </w:tcBorders>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主要负责质量/环境/职业健康安全体系的内审组织和管理评审的准备工作，负责质量/环境/职业健康安全管理体系文件化信息的统一管理和控制；负责组织职业健康安全因素、危险源的识别和评价，组织对重要环境因素和不可接受风险制定并实施管理方案；负责环境、职业健康安全信息的内外交流，环境、职业健康安全法律法规和其他要求的获取、识别和管理；负责公司年度环境及职业安全监测以及所有废弃物的处理跟踪；负责对部门在体系管理职能过程中涉及的环境因素、危险源的控制，实现部门质量、环境和职业健康安全目标；根据公司需求招聘员工；根据需求编制员工培训计划；提供产品符合性所需的各类环境设施；负责公司的危险废弃物的安全处理以及相关物流运输的安全保障工作。</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同时，部门还负责财务范围内所有工作，并协助有关部门进行成本控制；编制环保安全资金使用计划，确保资金到位，监督专款专用；负责公司日常财务开支，保证质量/环境/职业健康安全管理资金的落实；负责员工社会保险工作（养老、失业保险、医疗保险）的管理等工作。</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与部门负责人交流其部门职责和权限，与管理手册中规定一致。</w:t>
            </w:r>
          </w:p>
        </w:tc>
        <w:tc>
          <w:tcPr>
            <w:tcW w:w="1593" w:type="dxa"/>
            <w:tcBorders>
              <w:top w:val="single" w:color="auto" w:sz="8" w:space="0"/>
            </w:tcBorders>
            <w:vAlign w:val="center"/>
          </w:tcPr>
          <w:p>
            <w:pPr>
              <w:spacing w:line="360" w:lineRule="auto"/>
              <w:jc w:val="center"/>
              <w:rPr>
                <w:rFonts w:ascii="楷体" w:hAnsi="楷体" w:eastAsia="楷体"/>
                <w:sz w:val="24"/>
                <w:szCs w:val="24"/>
              </w:rPr>
            </w:pPr>
            <w:r>
              <w:rPr>
                <w:rFonts w:hint="eastAsia" w:ascii="楷体" w:hAnsi="楷体" w:eastAsia="楷体"/>
                <w:sz w:val="24"/>
                <w:szCs w:val="24"/>
              </w:rPr>
              <w:t>OK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tcPr>
          <w:p>
            <w:pPr>
              <w:spacing w:line="280" w:lineRule="exact"/>
              <w:rPr>
                <w:rFonts w:cs="Arial" w:asciiTheme="minorEastAsia" w:hAnsiTheme="minorEastAsia" w:eastAsiaTheme="minorEastAsia"/>
                <w:sz w:val="24"/>
                <w:szCs w:val="24"/>
              </w:rPr>
            </w:pPr>
            <w:r>
              <w:rPr>
                <w:rFonts w:hint="eastAsia" w:cs="宋体" w:asciiTheme="minorEastAsia" w:hAnsiTheme="minorEastAsia" w:eastAsiaTheme="minorEastAsia"/>
                <w:szCs w:val="21"/>
              </w:rPr>
              <w:t>目标及其实现策划</w:t>
            </w:r>
          </w:p>
        </w:tc>
        <w:tc>
          <w:tcPr>
            <w:tcW w:w="1318" w:type="dxa"/>
          </w:tcPr>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QEO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6.2</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6.2.1</w:t>
            </w:r>
          </w:p>
          <w:p>
            <w:pPr>
              <w:spacing w:line="280" w:lineRule="exact"/>
              <w:ind w:firstLine="420" w:firstLineChars="200"/>
              <w:rPr>
                <w:rFonts w:cs="Arial" w:asciiTheme="minorEastAsia" w:hAnsiTheme="minorEastAsia" w:eastAsiaTheme="minorEastAsia"/>
                <w:sz w:val="24"/>
                <w:szCs w:val="24"/>
              </w:rPr>
            </w:pPr>
            <w:r>
              <w:rPr>
                <w:rFonts w:hint="eastAsia" w:cs="宋体" w:asciiTheme="minorEastAsia" w:hAnsiTheme="minorEastAsia" w:eastAsiaTheme="minorEastAsia"/>
                <w:szCs w:val="21"/>
              </w:rPr>
              <w:t>6.2.2</w:t>
            </w:r>
          </w:p>
        </w:tc>
        <w:tc>
          <w:tcPr>
            <w:tcW w:w="10056" w:type="dxa"/>
            <w:vAlign w:val="center"/>
          </w:tcPr>
          <w:p>
            <w:pPr>
              <w:spacing w:line="280" w:lineRule="exact"/>
              <w:ind w:firstLine="420" w:firstLineChars="200"/>
            </w:pPr>
            <w:r>
              <w:rPr>
                <w:rFonts w:hint="eastAsia"/>
              </w:rPr>
              <w:t>公司提供有《方针、目标和管理方案控制程序》（XSL-QESP-04），明确了年度目标的制定、分解落实、监控分析、改善及考核及跟踪等环节。</w:t>
            </w:r>
          </w:p>
          <w:p>
            <w:pPr>
              <w:spacing w:line="280" w:lineRule="exact"/>
              <w:ind w:firstLine="420" w:firstLineChars="200"/>
            </w:pPr>
            <w:r>
              <w:rPr>
                <w:rFonts w:hint="eastAsia"/>
              </w:rPr>
              <w:t>提供有公司及综合部质量/环境/职业健康安全目标分解表；</w:t>
            </w:r>
          </w:p>
          <w:p>
            <w:pPr>
              <w:spacing w:line="280" w:lineRule="exact"/>
              <w:ind w:firstLine="420" w:firstLineChars="200"/>
            </w:pPr>
            <w:r>
              <w:rPr>
                <w:rFonts w:hint="eastAsia"/>
              </w:rPr>
              <w:t>提供有《2020-2021年管理目标完成统计表》（2</w:t>
            </w:r>
            <w:r>
              <w:t>021</w:t>
            </w:r>
            <w:r>
              <w:rPr>
                <w:rFonts w:hint="eastAsia"/>
              </w:rPr>
              <w:t>年1</w:t>
            </w:r>
            <w:r>
              <w:t>1</w:t>
            </w:r>
            <w:r>
              <w:rPr>
                <w:rFonts w:hint="eastAsia"/>
              </w:rPr>
              <w:t>月3</w:t>
            </w:r>
            <w:r>
              <w:t>0</w:t>
            </w:r>
            <w:r>
              <w:rPr>
                <w:rFonts w:hint="eastAsia"/>
              </w:rPr>
              <w:t>日统计），据统计，本部门（确定有9项年度目标）和公司在202</w:t>
            </w:r>
            <w:r>
              <w:t>0</w:t>
            </w:r>
            <w:r>
              <w:rPr>
                <w:rFonts w:hint="eastAsia"/>
              </w:rPr>
              <w:t>年</w:t>
            </w:r>
            <w:r>
              <w:t>1</w:t>
            </w:r>
            <w:r>
              <w:rPr>
                <w:rFonts w:hint="eastAsia"/>
              </w:rPr>
              <w:t>2月-2021年</w:t>
            </w:r>
            <w:r>
              <w:t>11</w:t>
            </w:r>
            <w:r>
              <w:rPr>
                <w:rFonts w:hint="eastAsia"/>
              </w:rPr>
              <w:t>月期间均完成了质量/环境/职业健康安全目标和指标任务，具体完成情况统计如下：</w:t>
            </w:r>
          </w:p>
          <w:p>
            <w:pPr>
              <w:ind w:firstLine="420" w:firstLineChars="200"/>
              <w:jc w:val="center"/>
              <w:rPr>
                <w:rFonts w:hint="eastAsia"/>
              </w:rPr>
            </w:pPr>
          </w:p>
          <w:tbl>
            <w:tblPr>
              <w:tblStyle w:val="11"/>
              <w:tblpPr w:leftFromText="180" w:rightFromText="180" w:vertAnchor="text" w:horzAnchor="page" w:tblpX="-4160" w:tblpY="-4864"/>
              <w:tblOverlap w:val="never"/>
              <w:tblW w:w="98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4"/>
              <w:gridCol w:w="1398"/>
              <w:gridCol w:w="636"/>
              <w:gridCol w:w="663"/>
              <w:gridCol w:w="1331"/>
              <w:gridCol w:w="599"/>
              <w:gridCol w:w="475"/>
              <w:gridCol w:w="475"/>
              <w:gridCol w:w="475"/>
              <w:gridCol w:w="475"/>
              <w:gridCol w:w="414"/>
              <w:gridCol w:w="386"/>
              <w:gridCol w:w="464"/>
              <w:gridCol w:w="386"/>
              <w:gridCol w:w="386"/>
              <w:gridCol w:w="386"/>
              <w:gridCol w:w="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4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综合部</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文件受控率100%</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1次/月</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top"/>
                    <w:rPr>
                      <w:rFonts w:hint="eastAsia" w:ascii="宋体" w:hAnsi="宋体" w:eastAsia="宋体" w:cs="宋体"/>
                      <w:i w:val="0"/>
                      <w:iCs w:val="0"/>
                      <w:color w:val="7030A0"/>
                      <w:sz w:val="11"/>
                      <w:szCs w:val="11"/>
                      <w:u w:val="none"/>
                    </w:rPr>
                  </w:pPr>
                  <w:r>
                    <w:rPr>
                      <w:rFonts w:hint="eastAsia" w:ascii="宋体" w:hAnsi="宋体" w:eastAsia="宋体" w:cs="宋体"/>
                      <w:i w:val="0"/>
                      <w:iCs w:val="0"/>
                      <w:color w:val="7030A0"/>
                      <w:kern w:val="0"/>
                      <w:sz w:val="11"/>
                      <w:szCs w:val="11"/>
                      <w:u w:val="none"/>
                      <w:lang w:val="en-US" w:eastAsia="zh-CN" w:bidi="ar"/>
                    </w:rPr>
                    <w:t>受控文件数量/文件总数量*100%</w:t>
                  </w:r>
                </w:p>
              </w:tc>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1"/>
                      <w:szCs w:val="11"/>
                      <w:u w:val="none"/>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培训完成率≥98%</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≥98%</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1次/月</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7030A0"/>
                      <w:sz w:val="11"/>
                      <w:szCs w:val="11"/>
                      <w:u w:val="none"/>
                    </w:rPr>
                  </w:pPr>
                  <w:r>
                    <w:rPr>
                      <w:rFonts w:hint="eastAsia" w:ascii="宋体" w:hAnsi="宋体" w:eastAsia="宋体" w:cs="宋体"/>
                      <w:i w:val="0"/>
                      <w:iCs w:val="0"/>
                      <w:color w:val="7030A0"/>
                      <w:kern w:val="0"/>
                      <w:sz w:val="11"/>
                      <w:szCs w:val="11"/>
                      <w:u w:val="none"/>
                      <w:lang w:val="en-US" w:eastAsia="zh-CN" w:bidi="ar"/>
                    </w:rPr>
                    <w:t>培训计划实施数/合格总数X100%</w:t>
                  </w:r>
                </w:p>
              </w:tc>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1"/>
                      <w:szCs w:val="11"/>
                      <w:u w:val="none"/>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确保环保/安全资金到位率100%</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1次/月</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top"/>
                    <w:rPr>
                      <w:rFonts w:hint="eastAsia" w:ascii="宋体" w:hAnsi="宋体" w:eastAsia="宋体" w:cs="宋体"/>
                      <w:i w:val="0"/>
                      <w:iCs w:val="0"/>
                      <w:color w:val="7030A0"/>
                      <w:sz w:val="11"/>
                      <w:szCs w:val="11"/>
                      <w:u w:val="none"/>
                    </w:rPr>
                  </w:pPr>
                  <w:r>
                    <w:rPr>
                      <w:rFonts w:hint="eastAsia" w:ascii="宋体" w:hAnsi="宋体" w:eastAsia="宋体" w:cs="宋体"/>
                      <w:i w:val="0"/>
                      <w:iCs w:val="0"/>
                      <w:color w:val="7030A0"/>
                      <w:kern w:val="0"/>
                      <w:sz w:val="11"/>
                      <w:szCs w:val="11"/>
                      <w:u w:val="none"/>
                      <w:lang w:val="en-US" w:eastAsia="zh-CN" w:bidi="ar"/>
                    </w:rPr>
                    <w:t>资金拨出总数/资金到位X100%</w:t>
                  </w:r>
                </w:p>
              </w:tc>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1"/>
                      <w:szCs w:val="11"/>
                      <w:u w:val="none"/>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固体弃物有效处置率100％</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1次/月</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top"/>
                    <w:rPr>
                      <w:rFonts w:hint="eastAsia" w:ascii="宋体" w:hAnsi="宋体" w:eastAsia="宋体" w:cs="宋体"/>
                      <w:i w:val="0"/>
                      <w:iCs w:val="0"/>
                      <w:color w:val="7030A0"/>
                      <w:sz w:val="11"/>
                      <w:szCs w:val="11"/>
                      <w:u w:val="none"/>
                    </w:rPr>
                  </w:pPr>
                  <w:r>
                    <w:rPr>
                      <w:rFonts w:hint="eastAsia" w:ascii="宋体" w:hAnsi="宋体" w:eastAsia="宋体" w:cs="宋体"/>
                      <w:i w:val="0"/>
                      <w:iCs w:val="0"/>
                      <w:color w:val="7030A0"/>
                      <w:kern w:val="0"/>
                      <w:sz w:val="11"/>
                      <w:szCs w:val="11"/>
                      <w:u w:val="none"/>
                      <w:lang w:val="en-US" w:eastAsia="zh-CN" w:bidi="ar"/>
                    </w:rPr>
                    <w:t>固体废弃物处理数/总数X100%</w:t>
                  </w:r>
                </w:p>
              </w:tc>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1"/>
                      <w:szCs w:val="11"/>
                      <w:u w:val="none"/>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杜绝火灾事故</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1次/月</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top"/>
                    <w:rPr>
                      <w:rFonts w:hint="eastAsia" w:ascii="宋体" w:hAnsi="宋体" w:eastAsia="宋体" w:cs="宋体"/>
                      <w:i w:val="0"/>
                      <w:iCs w:val="0"/>
                      <w:color w:val="7030A0"/>
                      <w:sz w:val="11"/>
                      <w:szCs w:val="11"/>
                      <w:u w:val="none"/>
                    </w:rPr>
                  </w:pPr>
                  <w:r>
                    <w:rPr>
                      <w:rFonts w:hint="eastAsia" w:ascii="宋体" w:hAnsi="宋体" w:eastAsia="宋体" w:cs="宋体"/>
                      <w:i w:val="0"/>
                      <w:iCs w:val="0"/>
                      <w:color w:val="7030A0"/>
                      <w:kern w:val="0"/>
                      <w:sz w:val="11"/>
                      <w:szCs w:val="11"/>
                      <w:u w:val="none"/>
                      <w:lang w:val="en-US" w:eastAsia="zh-CN" w:bidi="ar"/>
                    </w:rPr>
                    <w:t>是否有发生</w:t>
                  </w:r>
                </w:p>
              </w:tc>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1"/>
                      <w:szCs w:val="11"/>
                      <w:u w:val="none"/>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员工意外伤害</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1次/月</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top"/>
                    <w:rPr>
                      <w:rFonts w:hint="eastAsia" w:ascii="宋体" w:hAnsi="宋体" w:eastAsia="宋体" w:cs="宋体"/>
                      <w:i w:val="0"/>
                      <w:iCs w:val="0"/>
                      <w:color w:val="7030A0"/>
                      <w:sz w:val="11"/>
                      <w:szCs w:val="11"/>
                      <w:u w:val="none"/>
                    </w:rPr>
                  </w:pPr>
                  <w:r>
                    <w:rPr>
                      <w:rFonts w:hint="eastAsia" w:ascii="宋体" w:hAnsi="宋体" w:eastAsia="宋体" w:cs="宋体"/>
                      <w:i w:val="0"/>
                      <w:iCs w:val="0"/>
                      <w:color w:val="7030A0"/>
                      <w:kern w:val="0"/>
                      <w:sz w:val="11"/>
                      <w:szCs w:val="11"/>
                      <w:u w:val="none"/>
                      <w:lang w:val="en-US" w:eastAsia="zh-CN" w:bidi="ar"/>
                    </w:rPr>
                    <w:t>是否有发生</w:t>
                  </w:r>
                </w:p>
              </w:tc>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1"/>
                      <w:szCs w:val="11"/>
                      <w:u w:val="none"/>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火灾、触电发生次数为0次/每年</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1次/月</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top"/>
                    <w:rPr>
                      <w:rFonts w:hint="eastAsia" w:ascii="宋体" w:hAnsi="宋体" w:eastAsia="宋体" w:cs="宋体"/>
                      <w:i w:val="0"/>
                      <w:iCs w:val="0"/>
                      <w:color w:val="7030A0"/>
                      <w:sz w:val="11"/>
                      <w:szCs w:val="11"/>
                      <w:u w:val="none"/>
                    </w:rPr>
                  </w:pPr>
                  <w:r>
                    <w:rPr>
                      <w:rFonts w:hint="eastAsia" w:ascii="宋体" w:hAnsi="宋体" w:eastAsia="宋体" w:cs="宋体"/>
                      <w:i w:val="0"/>
                      <w:iCs w:val="0"/>
                      <w:color w:val="7030A0"/>
                      <w:kern w:val="0"/>
                      <w:sz w:val="11"/>
                      <w:szCs w:val="11"/>
                      <w:u w:val="none"/>
                      <w:lang w:val="en-US" w:eastAsia="zh-CN" w:bidi="ar"/>
                    </w:rPr>
                    <w:t>是否有发生</w:t>
                  </w:r>
                </w:p>
              </w:tc>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1"/>
                      <w:szCs w:val="11"/>
                      <w:u w:val="none"/>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员工意外损伤控制在0次/每年</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1次/月</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top"/>
                    <w:rPr>
                      <w:rFonts w:hint="eastAsia" w:ascii="宋体" w:hAnsi="宋体" w:eastAsia="宋体" w:cs="宋体"/>
                      <w:i w:val="0"/>
                      <w:iCs w:val="0"/>
                      <w:color w:val="7030A0"/>
                      <w:sz w:val="11"/>
                      <w:szCs w:val="11"/>
                      <w:u w:val="none"/>
                    </w:rPr>
                  </w:pPr>
                  <w:r>
                    <w:rPr>
                      <w:rFonts w:hint="eastAsia" w:ascii="宋体" w:hAnsi="宋体" w:eastAsia="宋体" w:cs="宋体"/>
                      <w:i w:val="0"/>
                      <w:iCs w:val="0"/>
                      <w:color w:val="7030A0"/>
                      <w:kern w:val="0"/>
                      <w:sz w:val="11"/>
                      <w:szCs w:val="11"/>
                      <w:u w:val="none"/>
                      <w:lang w:val="en-US" w:eastAsia="zh-CN" w:bidi="ar"/>
                    </w:rPr>
                    <w:t>是否有发生</w:t>
                  </w:r>
                </w:p>
              </w:tc>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4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1"/>
                      <w:szCs w:val="11"/>
                      <w:u w:val="none"/>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重大交通事故不得发生</w:t>
                  </w: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1次/月</w:t>
                  </w:r>
                </w:p>
              </w:tc>
              <w:tc>
                <w:tcPr>
                  <w:tcW w:w="133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top"/>
                    <w:rPr>
                      <w:rFonts w:hint="eastAsia" w:ascii="宋体" w:hAnsi="宋体" w:eastAsia="宋体" w:cs="宋体"/>
                      <w:i w:val="0"/>
                      <w:iCs w:val="0"/>
                      <w:color w:val="7030A0"/>
                      <w:sz w:val="11"/>
                      <w:szCs w:val="11"/>
                      <w:u w:val="none"/>
                    </w:rPr>
                  </w:pPr>
                  <w:r>
                    <w:rPr>
                      <w:rFonts w:hint="eastAsia" w:ascii="宋体" w:hAnsi="宋体" w:eastAsia="宋体" w:cs="宋体"/>
                      <w:i w:val="0"/>
                      <w:iCs w:val="0"/>
                      <w:color w:val="7030A0"/>
                      <w:kern w:val="0"/>
                      <w:sz w:val="11"/>
                      <w:szCs w:val="11"/>
                      <w:u w:val="none"/>
                      <w:lang w:val="en-US" w:eastAsia="zh-CN" w:bidi="ar"/>
                    </w:rPr>
                    <w:t>是否有发生</w:t>
                  </w:r>
                </w:p>
              </w:tc>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4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c>
                <w:tcPr>
                  <w:tcW w:w="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192" w:lineRule="auto"/>
                    <w:jc w:val="center"/>
                    <w:textAlignment w:val="center"/>
                    <w:rPr>
                      <w:rFonts w:hint="eastAsia" w:ascii="宋体" w:hAnsi="宋体" w:eastAsia="宋体" w:cs="宋体"/>
                      <w:i w:val="0"/>
                      <w:iCs w:val="0"/>
                      <w:color w:val="000000"/>
                      <w:sz w:val="11"/>
                      <w:szCs w:val="11"/>
                      <w:u w:val="none"/>
                    </w:rPr>
                  </w:pPr>
                  <w:r>
                    <w:rPr>
                      <w:rFonts w:hint="eastAsia" w:ascii="宋体" w:hAnsi="宋体" w:eastAsia="宋体" w:cs="宋体"/>
                      <w:i w:val="0"/>
                      <w:iCs w:val="0"/>
                      <w:color w:val="000000"/>
                      <w:kern w:val="0"/>
                      <w:sz w:val="11"/>
                      <w:szCs w:val="11"/>
                      <w:u w:val="none"/>
                      <w:lang w:val="en-US" w:eastAsia="zh-CN" w:bidi="ar"/>
                    </w:rPr>
                    <w:t>0</w:t>
                  </w:r>
                </w:p>
              </w:tc>
            </w:tr>
          </w:tbl>
          <w:p>
            <w:pPr>
              <w:pStyle w:val="2"/>
              <w:rPr>
                <w:rFonts w:hint="eastAsia" w:cs="宋体" w:asciiTheme="minorEastAsia" w:hAnsiTheme="minorEastAsia" w:eastAsiaTheme="minorEastAsia"/>
                <w:szCs w:val="21"/>
              </w:rPr>
            </w:pPr>
          </w:p>
          <w:p>
            <w:pPr>
              <w:pStyle w:val="2"/>
              <w:rPr>
                <w:rFonts w:hint="eastAsia" w:cs="宋体" w:asciiTheme="minorEastAsia" w:hAnsiTheme="minorEastAsia" w:eastAsiaTheme="minorEastAsia"/>
                <w:szCs w:val="21"/>
              </w:rPr>
            </w:pPr>
          </w:p>
        </w:tc>
        <w:tc>
          <w:tcPr>
            <w:tcW w:w="1593" w:type="dxa"/>
            <w:vAlign w:val="center"/>
          </w:tcPr>
          <w:p>
            <w:pPr>
              <w:spacing w:line="360" w:lineRule="auto"/>
              <w:jc w:val="center"/>
              <w:rPr>
                <w:rFonts w:ascii="楷体" w:hAnsi="楷体" w:eastAsia="楷体"/>
                <w:sz w:val="24"/>
                <w:szCs w:val="24"/>
              </w:rPr>
            </w:pPr>
            <w:r>
              <w:rPr>
                <w:rFonts w:hint="eastAsia" w:ascii="楷体" w:hAnsi="楷体" w:eastAsia="楷体"/>
                <w:sz w:val="24"/>
                <w:szCs w:val="24"/>
              </w:rPr>
              <w:t>OK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tcPr>
          <w:p>
            <w:pPr>
              <w:spacing w:line="280" w:lineRule="exact"/>
              <w:rPr>
                <w:rFonts w:hint="eastAsia" w:cs="宋体" w:asciiTheme="minorEastAsia" w:hAnsiTheme="minorEastAsia" w:eastAsiaTheme="minorEastAsia"/>
                <w:szCs w:val="21"/>
              </w:rPr>
            </w:pPr>
            <w:r>
              <w:rPr>
                <w:rFonts w:hint="eastAsia" w:ascii="宋体" w:hAnsi="宋体" w:cs="Arial"/>
                <w:spacing w:val="-6"/>
                <w:sz w:val="21"/>
                <w:szCs w:val="21"/>
              </w:rPr>
              <w:t>监视和测量资源</w:t>
            </w:r>
          </w:p>
        </w:tc>
        <w:tc>
          <w:tcPr>
            <w:tcW w:w="1318" w:type="dxa"/>
          </w:tcPr>
          <w:p>
            <w:pPr>
              <w:spacing w:line="28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Q</w:t>
            </w:r>
            <w:r>
              <w:rPr>
                <w:rFonts w:cs="宋体" w:asciiTheme="minorEastAsia" w:hAnsiTheme="minorEastAsia" w:eastAsiaTheme="minorEastAsia"/>
                <w:szCs w:val="21"/>
              </w:rPr>
              <w:t xml:space="preserve"> </w:t>
            </w:r>
            <w:r>
              <w:rPr>
                <w:rFonts w:hint="eastAsia" w:ascii="宋体" w:hAnsi="宋体" w:cs="Arial"/>
                <w:spacing w:val="-6"/>
                <w:sz w:val="21"/>
                <w:szCs w:val="21"/>
                <w:lang w:val="en-US" w:eastAsia="zh-CN"/>
              </w:rPr>
              <w:t>7</w:t>
            </w:r>
            <w:r>
              <w:rPr>
                <w:rFonts w:hint="eastAsia" w:ascii="宋体" w:hAnsi="宋体" w:cs="Arial"/>
                <w:spacing w:val="-6"/>
                <w:sz w:val="21"/>
                <w:szCs w:val="21"/>
              </w:rPr>
              <w:t>.1.5</w:t>
            </w:r>
          </w:p>
        </w:tc>
        <w:tc>
          <w:tcPr>
            <w:tcW w:w="10056" w:type="dxa"/>
            <w:vAlign w:val="center"/>
          </w:tcPr>
          <w:p>
            <w:pPr>
              <w:spacing w:line="280" w:lineRule="exact"/>
              <w:ind w:firstLine="420" w:firstLineChars="200"/>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与负责人交流明确监视和测量资源控制要求；</w:t>
            </w:r>
          </w:p>
          <w:p>
            <w:pPr>
              <w:spacing w:line="280" w:lineRule="exact"/>
              <w:ind w:firstLine="42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公司对供方成品进行感观检查和验证，目前销售现场无监视和测量资源；</w:t>
            </w:r>
          </w:p>
          <w:p>
            <w:pPr>
              <w:pStyle w:val="2"/>
              <w:rPr>
                <w:rFonts w:hint="default"/>
                <w:lang w:val="en-US" w:eastAsia="zh-CN"/>
              </w:rPr>
            </w:pPr>
            <w:r>
              <w:rPr>
                <w:rFonts w:hint="eastAsia" w:cs="宋体" w:asciiTheme="minorEastAsia" w:hAnsiTheme="minorEastAsia" w:eastAsiaTheme="minorEastAsia"/>
                <w:szCs w:val="21"/>
                <w:lang w:val="en-US" w:eastAsia="zh-CN"/>
              </w:rPr>
              <w:t xml:space="preserve">    与客户交付双方验收使用客户指定的称和尺子，其由客户进行检定和管理。</w:t>
            </w:r>
          </w:p>
          <w:p>
            <w:pPr>
              <w:spacing w:line="280" w:lineRule="exact"/>
              <w:ind w:firstLine="420" w:firstLineChars="200"/>
              <w:rPr>
                <w:rFonts w:hint="default" w:cs="宋体" w:asciiTheme="minorEastAsia" w:hAnsiTheme="minorEastAsia" w:eastAsiaTheme="minorEastAsia"/>
                <w:szCs w:val="21"/>
                <w:lang w:val="en-US" w:eastAsia="zh-CN"/>
              </w:rPr>
            </w:pPr>
          </w:p>
        </w:tc>
        <w:tc>
          <w:tcPr>
            <w:tcW w:w="1593" w:type="dxa"/>
            <w:vAlign w:val="center"/>
          </w:tcPr>
          <w:p>
            <w:pPr>
              <w:spacing w:line="360" w:lineRule="auto"/>
              <w:jc w:val="center"/>
              <w:rPr>
                <w:rFonts w:hint="eastAsia" w:asciiTheme="majorEastAsia" w:hAnsiTheme="majorEastAsia" w:eastAsiaTheme="majorEastAsia"/>
                <w:sz w:val="24"/>
                <w:szCs w:val="24"/>
                <w:lang w:val="en-US" w:eastAsia="zh-CN"/>
              </w:rPr>
            </w:pPr>
            <w:r>
              <w:rPr>
                <w:rFonts w:hint="eastAsia" w:asciiTheme="majorEastAsia" w:hAnsiTheme="majorEastAsia" w:eastAsiaTheme="majorEastAsia"/>
                <w:sz w:val="24"/>
                <w:szCs w:val="24"/>
                <w:lang w:val="en-US" w:eastAsia="zh-CN"/>
              </w:rPr>
              <w:t>OK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能力</w:t>
            </w:r>
          </w:p>
          <w:p>
            <w:pPr>
              <w:spacing w:line="280" w:lineRule="exact"/>
              <w:rPr>
                <w:rFonts w:cs="宋体" w:asciiTheme="minorEastAsia" w:hAnsiTheme="minorEastAsia" w:eastAsiaTheme="minorEastAsia"/>
                <w:szCs w:val="21"/>
              </w:rPr>
            </w:pPr>
          </w:p>
        </w:tc>
        <w:tc>
          <w:tcPr>
            <w:tcW w:w="1318" w:type="dxa"/>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QEO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7.2</w:t>
            </w:r>
          </w:p>
          <w:p>
            <w:pPr>
              <w:spacing w:line="280" w:lineRule="exact"/>
              <w:rPr>
                <w:rFonts w:cs="宋体" w:asciiTheme="minorEastAsia" w:hAnsiTheme="minorEastAsia" w:eastAsiaTheme="minorEastAsia"/>
                <w:szCs w:val="21"/>
              </w:rPr>
            </w:pPr>
          </w:p>
        </w:tc>
        <w:tc>
          <w:tcPr>
            <w:tcW w:w="10056" w:type="dxa"/>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公司在《人力资源控制程序》（</w:t>
            </w:r>
            <w:r>
              <w:rPr>
                <w:rFonts w:cs="宋体" w:asciiTheme="minorEastAsia" w:hAnsiTheme="minorEastAsia" w:eastAsiaTheme="minorEastAsia"/>
                <w:szCs w:val="21"/>
              </w:rPr>
              <w:t>XSL-QESP-06</w:t>
            </w:r>
            <w:r>
              <w:rPr>
                <w:rFonts w:hint="eastAsia" w:cs="宋体" w:asciiTheme="minorEastAsia" w:hAnsiTheme="minorEastAsia" w:eastAsiaTheme="minorEastAsia"/>
                <w:szCs w:val="21"/>
              </w:rPr>
              <w:t>）明确由综合部编制各部门岗位的能力要求，经管理者代表审批后，作为公司人员甄选、招聘、录用的主要根据，并规定新员工须有健康证明，符合要求的人员才能招入。</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抽查陈建阳、蒋小山、周雪平3人均在2</w:t>
            </w:r>
            <w:r>
              <w:rPr>
                <w:rFonts w:cs="宋体" w:asciiTheme="minorEastAsia" w:hAnsiTheme="minorEastAsia" w:eastAsiaTheme="minorEastAsia"/>
                <w:szCs w:val="21"/>
              </w:rPr>
              <w:t>020</w:t>
            </w:r>
            <w:r>
              <w:rPr>
                <w:rFonts w:hint="eastAsia" w:cs="宋体" w:asciiTheme="minorEastAsia" w:hAnsiTheme="minorEastAsia" w:eastAsiaTheme="minorEastAsia"/>
                <w:szCs w:val="21"/>
              </w:rPr>
              <w:t>年1月取得岗位任职资格：</w:t>
            </w:r>
          </w:p>
          <w:p>
            <w:pPr>
              <w:ind w:firstLine="420" w:firstLineChars="200"/>
              <w:rPr>
                <w:rFonts w:cs="宋体" w:asciiTheme="minorEastAsia" w:hAnsiTheme="minorEastAsia" w:eastAsiaTheme="minorEastAsia"/>
                <w:szCs w:val="21"/>
              </w:rPr>
            </w:pPr>
            <w:r>
              <w:rPr>
                <w:rFonts w:cs="宋体" w:asciiTheme="minorEastAsia" w:hAnsiTheme="minorEastAsia" w:eastAsiaTheme="minorEastAsia"/>
                <w:szCs w:val="21"/>
              </w:rPr>
              <w:drawing>
                <wp:inline distT="0" distB="0" distL="0" distR="0">
                  <wp:extent cx="1933575" cy="13430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l="6750" b="8329"/>
                          <a:stretch>
                            <a:fillRect/>
                          </a:stretch>
                        </pic:blipFill>
                        <pic:spPr>
                          <a:xfrm>
                            <a:off x="0" y="0"/>
                            <a:ext cx="1941643" cy="1348219"/>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cs="宋体" w:asciiTheme="minorEastAsia" w:hAnsiTheme="minorEastAsia" w:eastAsiaTheme="minorEastAsia"/>
                <w:szCs w:val="21"/>
              </w:rPr>
              <w:drawing>
                <wp:inline distT="0" distB="0" distL="0" distR="0">
                  <wp:extent cx="1884045" cy="13366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l="7125" b="6729"/>
                          <a:stretch>
                            <a:fillRect/>
                          </a:stretch>
                        </pic:blipFill>
                        <pic:spPr>
                          <a:xfrm>
                            <a:off x="0" y="0"/>
                            <a:ext cx="1893232" cy="1342965"/>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rFonts w:eastAsia="Times New Roman"/>
                <w:snapToGrid w:val="0"/>
                <w:color w:val="000000"/>
                <w:w w:val="0"/>
                <w:kern w:val="0"/>
                <w:sz w:val="0"/>
                <w:szCs w:val="0"/>
                <w:u w:color="000000"/>
                <w:shd w:val="clear" w:color="000000" w:fill="000000"/>
                <w:lang w:val="zh-CN" w:eastAsia="zh-CN" w:bidi="zh-CN"/>
              </w:rPr>
              <w:drawing>
                <wp:inline distT="0" distB="0" distL="0" distR="0">
                  <wp:extent cx="1852295" cy="13354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l="6784" r="1448" b="6439"/>
                          <a:stretch>
                            <a:fillRect/>
                          </a:stretch>
                        </pic:blipFill>
                        <pic:spPr>
                          <a:xfrm>
                            <a:off x="0" y="0"/>
                            <a:ext cx="1866239" cy="1345429"/>
                          </a:xfrm>
                          <a:prstGeom prst="rect">
                            <a:avLst/>
                          </a:prstGeom>
                          <a:noFill/>
                          <a:ln>
                            <a:noFill/>
                          </a:ln>
                        </pic:spPr>
                      </pic:pic>
                    </a:graphicData>
                  </a:graphic>
                </wp:inline>
              </w:drawing>
            </w:r>
          </w:p>
          <w:p>
            <w:pPr>
              <w:spacing w:line="280" w:lineRule="exact"/>
              <w:ind w:firstLine="420" w:firstLineChars="200"/>
              <w:rPr>
                <w:rFonts w:cs="宋体" w:asciiTheme="minorEastAsia" w:hAnsiTheme="minorEastAsia" w:eastAsiaTheme="minorEastAsia"/>
                <w:szCs w:val="21"/>
              </w:rPr>
            </w:pP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提供2021年度培训计划，2021年04月02日制定，公司总经理陈建阳批准。</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培训计划包括：ISO标准和体系文件培训；风险和机遇的培训；员工疫情防控培训；内审员培训；火灾知识、逃生培训、消防应急演练培训；方针、目标、职责的培训；销售技巧的培训；客诉处理流程培训；职业健康安全体系新版相关知识的培训等</w:t>
            </w:r>
            <w:r>
              <w:rPr>
                <w:rFonts w:cs="宋体" w:asciiTheme="minorEastAsia" w:hAnsiTheme="minorEastAsia" w:eastAsiaTheme="minorEastAsia"/>
                <w:szCs w:val="21"/>
              </w:rPr>
              <w:t>9</w:t>
            </w:r>
            <w:r>
              <w:rPr>
                <w:rFonts w:hint="eastAsia" w:cs="宋体" w:asciiTheme="minorEastAsia" w:hAnsiTheme="minorEastAsia" w:eastAsiaTheme="minorEastAsia"/>
                <w:szCs w:val="21"/>
              </w:rPr>
              <w:t>个培训项目。</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培训对象：管理人员及员工。</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提供了</w:t>
            </w:r>
            <w:r>
              <w:rPr>
                <w:rFonts w:cs="宋体" w:asciiTheme="minorEastAsia" w:hAnsiTheme="minorEastAsia" w:eastAsiaTheme="minorEastAsia"/>
                <w:szCs w:val="21"/>
              </w:rPr>
              <w:t>8</w:t>
            </w:r>
            <w:r>
              <w:rPr>
                <w:rFonts w:hint="eastAsia" w:cs="宋体" w:asciiTheme="minorEastAsia" w:hAnsiTheme="minorEastAsia" w:eastAsiaTheme="minorEastAsia"/>
                <w:szCs w:val="21"/>
              </w:rPr>
              <w:t>份已经完成的培训记录。抽查3份《培训记录表》（</w:t>
            </w:r>
            <w:r>
              <w:rPr>
                <w:rFonts w:cs="宋体" w:asciiTheme="minorEastAsia" w:hAnsiTheme="minorEastAsia" w:eastAsiaTheme="minorEastAsia"/>
                <w:szCs w:val="21"/>
              </w:rPr>
              <w:t>WR/JL-21</w:t>
            </w:r>
            <w:r>
              <w:rPr>
                <w:rFonts w:hint="eastAsia" w:cs="宋体" w:asciiTheme="minorEastAsia" w:hAnsiTheme="minorEastAsia" w:eastAsiaTheme="minorEastAsia"/>
                <w:szCs w:val="21"/>
              </w:rPr>
              <w:t>）：</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1）培训项目：风险和机遇的培训。培训时间：</w:t>
            </w:r>
            <w:r>
              <w:rPr>
                <w:rFonts w:cs="宋体" w:asciiTheme="minorEastAsia" w:hAnsiTheme="minorEastAsia" w:eastAsiaTheme="minorEastAsia"/>
                <w:szCs w:val="21"/>
              </w:rPr>
              <w:t>2021.5.21</w:t>
            </w:r>
            <w:r>
              <w:rPr>
                <w:rFonts w:hint="eastAsia" w:cs="宋体" w:asciiTheme="minorEastAsia" w:hAnsiTheme="minorEastAsia" w:eastAsiaTheme="minorEastAsia"/>
                <w:szCs w:val="21"/>
              </w:rPr>
              <w:t>。培训老师：林森泉。</w:t>
            </w:r>
            <w:r>
              <w:rPr>
                <w:rFonts w:hint="eastAsia" w:cs="宋体" w:asciiTheme="minorEastAsia" w:hAnsiTheme="minorEastAsia" w:eastAsiaTheme="minorEastAsia"/>
                <w:szCs w:val="21"/>
                <w:lang w:val="en-US" w:eastAsia="zh-CN"/>
              </w:rPr>
              <w:t>有</w:t>
            </w:r>
            <w:r>
              <w:rPr>
                <w:rFonts w:hint="eastAsia" w:cs="宋体" w:asciiTheme="minorEastAsia" w:hAnsiTheme="minorEastAsia" w:eastAsiaTheme="minorEastAsia"/>
                <w:szCs w:val="21"/>
              </w:rPr>
              <w:t>培训人数</w:t>
            </w:r>
            <w:r>
              <w:rPr>
                <w:rFonts w:hint="eastAsia" w:cs="宋体" w:asciiTheme="minorEastAsia" w:hAnsiTheme="minorEastAsia" w:eastAsiaTheme="minorEastAsia"/>
                <w:szCs w:val="21"/>
                <w:lang w:val="en-US" w:eastAsia="zh-CN"/>
              </w:rPr>
              <w:t>记录</w:t>
            </w:r>
            <w:r>
              <w:rPr>
                <w:rFonts w:hint="eastAsia" w:cs="宋体" w:asciiTheme="minorEastAsia" w:hAnsiTheme="minorEastAsia" w:eastAsiaTheme="minorEastAsia"/>
                <w:szCs w:val="21"/>
              </w:rPr>
              <w:t>。培训内容：风险和机遇的识别和控制方法、企业有哪些风险和机遇、风险和机遇的识别方法在企业运行中的应用等。口试结果：合格。进行了培训效果评价。</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2）培训项目：销售技巧的培训。培训时间：</w:t>
            </w:r>
            <w:r>
              <w:rPr>
                <w:rFonts w:cs="宋体" w:asciiTheme="minorEastAsia" w:hAnsiTheme="minorEastAsia" w:eastAsiaTheme="minorEastAsia"/>
                <w:szCs w:val="21"/>
              </w:rPr>
              <w:t>2021.10.8</w:t>
            </w:r>
            <w:r>
              <w:rPr>
                <w:rFonts w:hint="eastAsia" w:cs="宋体" w:asciiTheme="minorEastAsia" w:hAnsiTheme="minorEastAsia" w:eastAsiaTheme="minorEastAsia"/>
                <w:szCs w:val="21"/>
              </w:rPr>
              <w:t>。培训老师：陈建阳。</w:t>
            </w:r>
            <w:r>
              <w:rPr>
                <w:rFonts w:hint="eastAsia" w:cs="宋体" w:asciiTheme="minorEastAsia" w:hAnsiTheme="minorEastAsia" w:eastAsiaTheme="minorEastAsia"/>
                <w:szCs w:val="21"/>
                <w:lang w:val="en-US" w:eastAsia="zh-CN"/>
              </w:rPr>
              <w:t>有</w:t>
            </w:r>
            <w:r>
              <w:rPr>
                <w:rFonts w:hint="eastAsia" w:cs="宋体" w:asciiTheme="minorEastAsia" w:hAnsiTheme="minorEastAsia" w:eastAsiaTheme="minorEastAsia"/>
                <w:szCs w:val="21"/>
              </w:rPr>
              <w:t>培训人数</w:t>
            </w:r>
            <w:r>
              <w:rPr>
                <w:rFonts w:hint="eastAsia" w:cs="宋体" w:asciiTheme="minorEastAsia" w:hAnsiTheme="minorEastAsia" w:eastAsiaTheme="minorEastAsia"/>
                <w:szCs w:val="21"/>
                <w:lang w:val="en-US" w:eastAsia="zh-CN"/>
              </w:rPr>
              <w:t>记录</w:t>
            </w:r>
            <w:r>
              <w:rPr>
                <w:rFonts w:hint="eastAsia" w:cs="宋体" w:asciiTheme="minorEastAsia" w:hAnsiTheme="minorEastAsia" w:eastAsiaTheme="minorEastAsia"/>
                <w:szCs w:val="21"/>
              </w:rPr>
              <w:t>。培训内容：销售前的准备；销售过程的沟通技巧；谈判技巧；后期沟通时机及方法。口试结果：合格。进行了培训效果评价。</w:t>
            </w:r>
          </w:p>
          <w:p>
            <w:pPr>
              <w:spacing w:line="28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3）培训项目：客诉处</w:t>
            </w:r>
            <w:bookmarkStart w:id="0" w:name="_GoBack"/>
            <w:bookmarkEnd w:id="0"/>
            <w:r>
              <w:rPr>
                <w:rFonts w:hint="eastAsia" w:cs="宋体" w:asciiTheme="minorEastAsia" w:hAnsiTheme="minorEastAsia" w:eastAsiaTheme="minorEastAsia"/>
                <w:szCs w:val="21"/>
              </w:rPr>
              <w:t>理流程培训。培训时间：</w:t>
            </w:r>
            <w:r>
              <w:rPr>
                <w:rFonts w:cs="宋体" w:asciiTheme="minorEastAsia" w:hAnsiTheme="minorEastAsia" w:eastAsiaTheme="minorEastAsia"/>
                <w:szCs w:val="21"/>
              </w:rPr>
              <w:t>2021.11.18</w:t>
            </w:r>
            <w:r>
              <w:rPr>
                <w:rFonts w:hint="eastAsia" w:cs="宋体" w:asciiTheme="minorEastAsia" w:hAnsiTheme="minorEastAsia" w:eastAsiaTheme="minorEastAsia"/>
                <w:szCs w:val="21"/>
              </w:rPr>
              <w:t>。培训老师：陈建阳</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有</w:t>
            </w:r>
            <w:r>
              <w:rPr>
                <w:rFonts w:hint="eastAsia" w:cs="宋体" w:asciiTheme="minorEastAsia" w:hAnsiTheme="minorEastAsia" w:eastAsiaTheme="minorEastAsia"/>
                <w:szCs w:val="21"/>
              </w:rPr>
              <w:t>培训人数</w:t>
            </w:r>
            <w:r>
              <w:rPr>
                <w:rFonts w:hint="eastAsia" w:cs="宋体" w:asciiTheme="minorEastAsia" w:hAnsiTheme="minorEastAsia" w:eastAsiaTheme="minorEastAsia"/>
                <w:szCs w:val="21"/>
                <w:lang w:val="en-US" w:eastAsia="zh-CN"/>
              </w:rPr>
              <w:t>记录</w:t>
            </w:r>
            <w:r>
              <w:rPr>
                <w:rFonts w:hint="eastAsia" w:cs="宋体" w:asciiTheme="minorEastAsia" w:hAnsiTheme="minorEastAsia" w:eastAsiaTheme="minorEastAsia"/>
                <w:szCs w:val="21"/>
              </w:rPr>
              <w:t>。培训内容：。口试结果：合格。进行了培训效果评价。</w:t>
            </w:r>
          </w:p>
          <w:p>
            <w:pPr>
              <w:spacing w:line="280" w:lineRule="exact"/>
              <w:ind w:firstLine="420" w:firstLineChars="200"/>
              <w:rPr>
                <w:rFonts w:cs="宋体" w:asciiTheme="minorEastAsia" w:hAnsiTheme="minorEastAsia" w:eastAsiaTheme="minorEastAsia"/>
                <w:color w:val="FF0000"/>
                <w:szCs w:val="21"/>
              </w:rPr>
            </w:pPr>
            <w:r>
              <w:rPr>
                <w:rFonts w:hint="eastAsia" w:cs="宋体" w:asciiTheme="minorEastAsia" w:hAnsiTheme="minorEastAsia" w:eastAsiaTheme="minorEastAsia"/>
                <w:color w:val="000000" w:themeColor="text1"/>
                <w:szCs w:val="21"/>
              </w:rPr>
              <w:t>电工特种作业活动</w:t>
            </w:r>
            <w:r>
              <w:rPr>
                <w:rFonts w:hint="eastAsia" w:cs="宋体" w:asciiTheme="minorEastAsia" w:hAnsiTheme="minorEastAsia" w:eastAsiaTheme="minorEastAsia"/>
                <w:color w:val="000000" w:themeColor="text1"/>
                <w:szCs w:val="21"/>
                <w:lang w:eastAsia="zh-CN"/>
              </w:rPr>
              <w:t>，</w:t>
            </w:r>
            <w:r>
              <w:rPr>
                <w:rFonts w:hint="eastAsia" w:cs="宋体" w:asciiTheme="minorEastAsia" w:hAnsiTheme="minorEastAsia" w:eastAsiaTheme="minorEastAsia"/>
                <w:color w:val="000000" w:themeColor="text1"/>
                <w:szCs w:val="21"/>
              </w:rPr>
              <w:t>提供1名电工作业人员资格证书</w:t>
            </w:r>
            <w:r>
              <w:rPr>
                <w:rFonts w:hint="eastAsia" w:cs="宋体" w:asciiTheme="minorEastAsia" w:hAnsiTheme="minorEastAsia" w:eastAsiaTheme="minorEastAsia"/>
                <w:szCs w:val="21"/>
              </w:rPr>
              <w:t>。</w:t>
            </w:r>
          </w:p>
          <w:p>
            <w:pPr>
              <w:ind w:firstLine="420" w:firstLineChars="200"/>
              <w:rPr>
                <w:rFonts w:cs="宋体" w:asciiTheme="minorEastAsia" w:hAnsiTheme="minorEastAsia" w:eastAsiaTheme="minorEastAsia"/>
                <w:color w:val="FF0000"/>
                <w:szCs w:val="21"/>
              </w:rPr>
            </w:pPr>
            <w:r>
              <w:rPr>
                <w:rFonts w:ascii="等线" w:hAnsi="等线" w:eastAsia="等线" w:cs="宋体"/>
                <w:szCs w:val="21"/>
              </w:rPr>
              <w:drawing>
                <wp:anchor distT="0" distB="0" distL="114300" distR="114300" simplePos="0" relativeHeight="251659264" behindDoc="0" locked="0" layoutInCell="1" allowOverlap="1">
                  <wp:simplePos x="0" y="0"/>
                  <wp:positionH relativeFrom="column">
                    <wp:posOffset>3668395</wp:posOffset>
                  </wp:positionH>
                  <wp:positionV relativeFrom="paragraph">
                    <wp:posOffset>311785</wp:posOffset>
                  </wp:positionV>
                  <wp:extent cx="1188720" cy="3591560"/>
                  <wp:effectExtent l="1200150" t="0" r="117348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l="24410" t="3782" r="20758" b="3014"/>
                          <a:stretch>
                            <a:fillRect/>
                          </a:stretch>
                        </pic:blipFill>
                        <pic:spPr>
                          <a:xfrm rot="16200000">
                            <a:off x="0" y="0"/>
                            <a:ext cx="1188720" cy="3591560"/>
                          </a:xfrm>
                          <a:prstGeom prst="rect">
                            <a:avLst/>
                          </a:prstGeom>
                          <a:noFill/>
                          <a:ln>
                            <a:noFill/>
                          </a:ln>
                        </pic:spPr>
                      </pic:pic>
                    </a:graphicData>
                  </a:graphic>
                </wp:anchor>
              </w:drawing>
            </w:r>
            <w:r>
              <w:rPr>
                <w:rFonts w:cs="宋体" w:asciiTheme="minorEastAsia" w:hAnsiTheme="minorEastAsia" w:eastAsiaTheme="minorEastAsia"/>
                <w:color w:val="FF0000"/>
                <w:szCs w:val="21"/>
              </w:rPr>
              <w:drawing>
                <wp:anchor distT="0" distB="0" distL="114300" distR="114300" simplePos="0" relativeHeight="251662336" behindDoc="0" locked="0" layoutInCell="1" allowOverlap="1">
                  <wp:simplePos x="0" y="0"/>
                  <wp:positionH relativeFrom="column">
                    <wp:posOffset>541020</wp:posOffset>
                  </wp:positionH>
                  <wp:positionV relativeFrom="paragraph">
                    <wp:posOffset>824230</wp:posOffset>
                  </wp:positionV>
                  <wp:extent cx="1272540" cy="2386965"/>
                  <wp:effectExtent l="552450" t="0" r="53721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t="3320" b="12672"/>
                          <a:stretch>
                            <a:fillRect/>
                          </a:stretch>
                        </pic:blipFill>
                        <pic:spPr>
                          <a:xfrm rot="16200000">
                            <a:off x="0" y="0"/>
                            <a:ext cx="1272540" cy="2386965"/>
                          </a:xfrm>
                          <a:prstGeom prst="rect">
                            <a:avLst/>
                          </a:prstGeom>
                          <a:noFill/>
                          <a:ln>
                            <a:noFill/>
                          </a:ln>
                        </pic:spPr>
                      </pic:pic>
                    </a:graphicData>
                  </a:graphic>
                </wp:anchor>
              </w:drawing>
            </w:r>
            <w:r>
              <w:rPr>
                <w:rFonts w:cs="宋体" w:asciiTheme="minorEastAsia" w:hAnsiTheme="minorEastAsia" w:eastAsiaTheme="minorEastAsia"/>
                <w:color w:val="FF0000"/>
                <w:szCs w:val="21"/>
              </w:rPr>
              <w:drawing>
                <wp:anchor distT="0" distB="0" distL="114300" distR="114300" simplePos="0" relativeHeight="251663360" behindDoc="0" locked="0" layoutInCell="1" allowOverlap="1">
                  <wp:simplePos x="0" y="0"/>
                  <wp:positionH relativeFrom="column">
                    <wp:posOffset>4337050</wp:posOffset>
                  </wp:positionH>
                  <wp:positionV relativeFrom="paragraph">
                    <wp:posOffset>-248285</wp:posOffset>
                  </wp:positionV>
                  <wp:extent cx="1312545" cy="2087245"/>
                  <wp:effectExtent l="381000" t="0" r="36385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l="7018" t="18784" r="20637" b="29481"/>
                          <a:stretch>
                            <a:fillRect/>
                          </a:stretch>
                        </pic:blipFill>
                        <pic:spPr>
                          <a:xfrm rot="16200000">
                            <a:off x="0" y="0"/>
                            <a:ext cx="1312545" cy="2087245"/>
                          </a:xfrm>
                          <a:prstGeom prst="rect">
                            <a:avLst/>
                          </a:prstGeom>
                          <a:noFill/>
                          <a:ln>
                            <a:noFill/>
                          </a:ln>
                        </pic:spPr>
                      </pic:pic>
                    </a:graphicData>
                  </a:graphic>
                </wp:anchor>
              </w:drawing>
            </w:r>
            <w:r>
              <w:rPr>
                <w:rFonts w:cs="宋体" w:asciiTheme="minorEastAsia" w:hAnsiTheme="minorEastAsia" w:eastAsiaTheme="minorEastAsia"/>
                <w:color w:val="FF0000"/>
                <w:szCs w:val="21"/>
              </w:rPr>
              <w:drawing>
                <wp:inline distT="0" distB="0" distL="0" distR="0">
                  <wp:extent cx="3319780" cy="12426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t="17585" b="15888"/>
                          <a:stretch>
                            <a:fillRect/>
                          </a:stretch>
                        </pic:blipFill>
                        <pic:spPr>
                          <a:xfrm>
                            <a:off x="0" y="0"/>
                            <a:ext cx="3326079" cy="1245288"/>
                          </a:xfrm>
                          <a:prstGeom prst="rect">
                            <a:avLst/>
                          </a:prstGeom>
                          <a:noFill/>
                          <a:ln>
                            <a:noFill/>
                          </a:ln>
                        </pic:spPr>
                      </pic:pic>
                    </a:graphicData>
                  </a:graphic>
                </wp:inline>
              </w:drawing>
            </w:r>
          </w:p>
          <w:p>
            <w:pPr>
              <w:ind w:firstLine="420" w:firstLineChars="200"/>
              <w:rPr>
                <w:rFonts w:cs="宋体" w:asciiTheme="minorEastAsia" w:hAnsiTheme="minorEastAsia" w:eastAsiaTheme="minorEastAsia"/>
                <w:color w:val="FF0000"/>
                <w:szCs w:val="21"/>
              </w:rPr>
            </w:pPr>
          </w:p>
          <w:p>
            <w:pPr>
              <w:ind w:firstLine="420" w:firstLineChars="200"/>
              <w:rPr>
                <w:rFonts w:cs="宋体" w:asciiTheme="minorEastAsia" w:hAnsiTheme="minorEastAsia" w:eastAsiaTheme="minorEastAsia"/>
                <w:color w:val="FF0000"/>
                <w:szCs w:val="21"/>
              </w:rPr>
            </w:pPr>
          </w:p>
          <w:p>
            <w:pPr>
              <w:ind w:firstLine="420" w:firstLineChars="200"/>
              <w:rPr>
                <w:rFonts w:cs="宋体" w:asciiTheme="minorEastAsia" w:hAnsiTheme="minorEastAsia" w:eastAsiaTheme="minorEastAsia"/>
                <w:color w:val="FF0000"/>
                <w:szCs w:val="21"/>
              </w:rPr>
            </w:pPr>
          </w:p>
          <w:p>
            <w:pPr>
              <w:ind w:firstLine="420" w:firstLineChars="200"/>
              <w:rPr>
                <w:rFonts w:cs="宋体" w:asciiTheme="minorEastAsia" w:hAnsiTheme="minorEastAsia" w:eastAsiaTheme="minorEastAsia"/>
                <w:color w:val="FF0000"/>
                <w:szCs w:val="21"/>
              </w:rPr>
            </w:pPr>
          </w:p>
          <w:p>
            <w:pPr>
              <w:ind w:firstLine="420" w:firstLineChars="200"/>
              <w:rPr>
                <w:rFonts w:cs="宋体" w:asciiTheme="minorEastAsia" w:hAnsiTheme="minorEastAsia" w:eastAsiaTheme="minorEastAsia"/>
                <w:color w:val="FF0000"/>
                <w:szCs w:val="21"/>
              </w:rPr>
            </w:pPr>
          </w:p>
          <w:p>
            <w:pPr>
              <w:ind w:firstLine="420" w:firstLineChars="200"/>
              <w:rPr>
                <w:rFonts w:hint="eastAsia" w:cs="宋体" w:asciiTheme="minorEastAsia" w:hAnsiTheme="minorEastAsia" w:eastAsiaTheme="minorEastAsia"/>
                <w:color w:val="FF0000"/>
                <w:szCs w:val="21"/>
              </w:rPr>
            </w:pPr>
          </w:p>
          <w:p>
            <w:pPr>
              <w:rPr>
                <w:rFonts w:hint="eastAsia" w:cs="宋体" w:asciiTheme="minorEastAsia" w:hAnsiTheme="minorEastAsia" w:eastAsiaTheme="minorEastAsia"/>
                <w:szCs w:val="21"/>
              </w:rPr>
            </w:pPr>
          </w:p>
        </w:tc>
        <w:tc>
          <w:tcPr>
            <w:tcW w:w="1593" w:type="dxa"/>
          </w:tcPr>
          <w:p>
            <w:pPr>
              <w:spacing w:line="360" w:lineRule="auto"/>
              <w:jc w:val="center"/>
            </w:pPr>
            <w:r>
              <w:rPr>
                <w:rFonts w:hint="eastAsia"/>
              </w:rPr>
              <w:t>OK</w:t>
            </w:r>
          </w:p>
          <w:p>
            <w:pPr>
              <w:spacing w:line="360" w:lineRule="auto"/>
              <w:jc w:val="center"/>
            </w:pPr>
          </w:p>
          <w:p>
            <w:pPr>
              <w:spacing w:line="360" w:lineRule="auto"/>
              <w:jc w:val="center"/>
              <w:rPr>
                <w:rFonts w:hint="eastAsia"/>
              </w:rP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rPr>
                <w:rFonts w:hint="eastAsia"/>
              </w:rPr>
            </w:pPr>
          </w:p>
          <w:p>
            <w:pPr>
              <w:pStyle w:val="2"/>
              <w:rPr>
                <w:rFonts w:hint="eastAsia" w:ascii="楷体" w:hAnsi="楷体" w:eastAsia="楷体"/>
                <w:color w:val="FF0000"/>
                <w:sz w:val="24"/>
                <w:szCs w:val="24"/>
              </w:rPr>
            </w:pPr>
          </w:p>
          <w:p>
            <w:pPr>
              <w:pStyle w:val="2"/>
              <w:rPr>
                <w:rFonts w:hint="eastAsia" w:ascii="楷体" w:hAnsi="楷体" w:eastAsia="楷体"/>
                <w:color w:val="FF0000"/>
                <w:sz w:val="24"/>
                <w:szCs w:val="24"/>
              </w:rPr>
            </w:pPr>
          </w:p>
          <w:p>
            <w:pPr>
              <w:pStyle w:val="2"/>
              <w:rPr>
                <w:rFonts w:hint="eastAsia" w:ascii="楷体" w:hAnsi="楷体" w:eastAsia="楷体"/>
                <w:color w:val="FF0000"/>
                <w:sz w:val="24"/>
                <w:szCs w:val="24"/>
              </w:rPr>
            </w:pPr>
          </w:p>
          <w:p>
            <w:pPr>
              <w:pStyle w:val="2"/>
              <w:rPr>
                <w:rFonts w:hint="eastAsia" w:ascii="楷体" w:hAnsi="楷体" w:eastAsia="楷体"/>
                <w:color w:val="FF000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环境因素/危险源</w:t>
            </w:r>
          </w:p>
          <w:p>
            <w:pPr>
              <w:spacing w:line="28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措施的策划</w:t>
            </w:r>
          </w:p>
        </w:tc>
        <w:tc>
          <w:tcPr>
            <w:tcW w:w="1318" w:type="dxa"/>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EO 6.1.2 </w:t>
            </w:r>
          </w:p>
          <w:p>
            <w:pPr>
              <w:spacing w:line="280" w:lineRule="exact"/>
              <w:rPr>
                <w:rFonts w:hint="eastAsia" w:cs="宋体" w:asciiTheme="minorEastAsia" w:hAnsiTheme="minorEastAsia" w:eastAsiaTheme="minorEastAsia"/>
                <w:szCs w:val="21"/>
              </w:rPr>
            </w:pPr>
            <w:r>
              <w:rPr>
                <w:rFonts w:hint="eastAsia" w:cs="宋体" w:asciiTheme="minorEastAsia" w:hAnsiTheme="minorEastAsia" w:eastAsiaTheme="minorEastAsia"/>
                <w:szCs w:val="21"/>
              </w:rPr>
              <w:t>EO</w:t>
            </w:r>
            <w:r>
              <w:rPr>
                <w:rFonts w:cs="宋体" w:asciiTheme="minorEastAsia" w:hAnsiTheme="minorEastAsia" w:eastAsiaTheme="minorEastAsia"/>
                <w:szCs w:val="21"/>
              </w:rPr>
              <w:t xml:space="preserve"> 6.1.4</w:t>
            </w:r>
          </w:p>
        </w:tc>
        <w:tc>
          <w:tcPr>
            <w:tcW w:w="10056" w:type="dxa"/>
          </w:tcPr>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综合部提供有《环境因素、危险源识别评价控制程序》</w:t>
            </w:r>
            <w:r>
              <w:rPr>
                <w:rFonts w:hint="eastAsia" w:asciiTheme="minorEastAsia" w:hAnsiTheme="minorEastAsia" w:eastAsiaTheme="minorEastAsia"/>
                <w:szCs w:val="21"/>
              </w:rPr>
              <w:t>（</w:t>
            </w:r>
            <w:r>
              <w:rPr>
                <w:rFonts w:asciiTheme="minorEastAsia" w:hAnsiTheme="minorEastAsia" w:eastAsiaTheme="minorEastAsia"/>
                <w:szCs w:val="21"/>
              </w:rPr>
              <w:t>XSL-QESP-02</w:t>
            </w:r>
            <w:r>
              <w:rPr>
                <w:rFonts w:hint="eastAsia" w:asciiTheme="minorEastAsia" w:hAnsiTheme="minorEastAsia" w:eastAsiaTheme="minorEastAsia"/>
                <w:szCs w:val="21"/>
              </w:rPr>
              <w:t>）。</w:t>
            </w:r>
            <w:r>
              <w:rPr>
                <w:rFonts w:hint="eastAsia" w:cs="宋体" w:asciiTheme="minorEastAsia" w:hAnsiTheme="minorEastAsia" w:eastAsiaTheme="minorEastAsia"/>
                <w:szCs w:val="21"/>
              </w:rPr>
              <w:t>综合部作为环境和职业健康安全管理体系的推进部门，主要负责组织各部门环境因素和职业健康安全危险源的识别，确定重要环境因素和重大危险源，组织制定目标、指标和管理方案并进行评价；组织环境健康安全监测，负责监测与测量环境和职业健康安全绩效。</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查《环境因素调查评价表》（2021年06月02日），重新识别考虑了正常、异常、紧急，过去、现在、未来三种时态，考虑了相关方可施加影响的环境因素，能考虑到产品生命周期观点。共识别有3</w:t>
            </w:r>
            <w:r>
              <w:rPr>
                <w:rFonts w:cs="宋体" w:asciiTheme="minorEastAsia" w:hAnsiTheme="minorEastAsia" w:eastAsiaTheme="minorEastAsia"/>
                <w:szCs w:val="21"/>
              </w:rPr>
              <w:t>5</w:t>
            </w:r>
            <w:r>
              <w:rPr>
                <w:rFonts w:hint="eastAsia" w:cs="宋体" w:asciiTheme="minorEastAsia" w:hAnsiTheme="minorEastAsia" w:eastAsiaTheme="minorEastAsia"/>
                <w:szCs w:val="21"/>
              </w:rPr>
              <w:t>个环境因素，其中，不可接受环境因素有4个，主要是火灾、办公（销售）活动的废弃物。</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查公司《重要环境因素清单》（2021年06月02日），重新确定固体危废物处理、潜在火灾发生2项重要环境因素，并制定有2项《环境管理方案》。</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其中，固体危废物处理的主要控制措施：制定固体弃物处理措施；选择合理存放固体弃物位置；联系固体弃物回收公司及时回收等。</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查公司《危险源识别及风险评价表》（2021年06月02日），重新识别了办公活动、销售过程的车辆驾驶活动等9个方面的作业活动的3</w:t>
            </w:r>
            <w:r>
              <w:rPr>
                <w:rFonts w:cs="宋体" w:asciiTheme="minorEastAsia" w:hAnsiTheme="minorEastAsia" w:eastAsiaTheme="minorEastAsia"/>
                <w:szCs w:val="21"/>
              </w:rPr>
              <w:t>5</w:t>
            </w:r>
            <w:r>
              <w:rPr>
                <w:rFonts w:hint="eastAsia" w:cs="宋体" w:asciiTheme="minorEastAsia" w:hAnsiTheme="minorEastAsia" w:eastAsiaTheme="minorEastAsia"/>
                <w:szCs w:val="21"/>
              </w:rPr>
              <w:t>个危险，其中，不可接受风险7个，主要是火灾、触电，交通事故和中暑等。</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查公司《不可接受风险清单》（2021年06月02日），对重新识别出的危险源采取D=LEC进行评价，评价出不可接受风险</w:t>
            </w:r>
            <w:r>
              <w:rPr>
                <w:rFonts w:cs="宋体" w:asciiTheme="minorEastAsia" w:hAnsiTheme="minorEastAsia" w:eastAsiaTheme="minorEastAsia"/>
                <w:szCs w:val="21"/>
              </w:rPr>
              <w:t>4</w:t>
            </w:r>
            <w:r>
              <w:rPr>
                <w:rFonts w:hint="eastAsia" w:cs="宋体" w:asciiTheme="minorEastAsia" w:hAnsiTheme="minorEastAsia" w:eastAsiaTheme="minorEastAsia"/>
                <w:szCs w:val="21"/>
              </w:rPr>
              <w:t>个，包括：火灾、意外伤害（交通事故）、触电事故、突发疫情损害健康，并制定有</w:t>
            </w:r>
            <w:r>
              <w:rPr>
                <w:rFonts w:cs="宋体" w:asciiTheme="minorEastAsia" w:hAnsiTheme="minorEastAsia" w:eastAsiaTheme="minorEastAsia"/>
                <w:szCs w:val="21"/>
              </w:rPr>
              <w:t>3</w:t>
            </w:r>
            <w:r>
              <w:rPr>
                <w:rFonts w:hint="eastAsia" w:cs="宋体" w:asciiTheme="minorEastAsia" w:hAnsiTheme="minorEastAsia" w:eastAsiaTheme="minorEastAsia"/>
                <w:szCs w:val="21"/>
              </w:rPr>
              <w:t>项《职业健康安全管理方案》。</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其中，触电火灾的主要控制措施：综合部对人员进行培训；办公场所、配电区设置禁烟警示标识；配备足够灭火器；对火灾进行应急预案演练；定期检查，及时排除火灾隐患等。资金预算：</w:t>
            </w:r>
            <w:r>
              <w:rPr>
                <w:rFonts w:cs="宋体" w:asciiTheme="minorEastAsia" w:hAnsiTheme="minorEastAsia" w:eastAsiaTheme="minorEastAsia"/>
                <w:szCs w:val="21"/>
              </w:rPr>
              <w:t>5000</w:t>
            </w:r>
            <w:r>
              <w:rPr>
                <w:rFonts w:hint="eastAsia" w:cs="宋体" w:asciiTheme="minorEastAsia" w:hAnsiTheme="minorEastAsia" w:eastAsiaTheme="minorEastAsia"/>
                <w:szCs w:val="21"/>
              </w:rPr>
              <w:t>元。</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突发疫情损害健康的主要控制措施：员工上班、外来人员进入需佩戴口罩，测量体温，登记信息；定期对公司进行消毒；注意卫生，勤洗手，保持工作区域整洁；人员不密集、不聚餐，采取网络会议的型式。资金预算：2</w:t>
            </w:r>
            <w:r>
              <w:rPr>
                <w:rFonts w:cs="宋体" w:asciiTheme="minorEastAsia" w:hAnsiTheme="minorEastAsia" w:eastAsiaTheme="minorEastAsia"/>
                <w:szCs w:val="21"/>
              </w:rPr>
              <w:t>000</w:t>
            </w:r>
            <w:r>
              <w:rPr>
                <w:rFonts w:hint="eastAsia" w:cs="宋体" w:asciiTheme="minorEastAsia" w:hAnsiTheme="minorEastAsia" w:eastAsiaTheme="minorEastAsia"/>
                <w:szCs w:val="21"/>
              </w:rPr>
              <w:t>元。</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抽查“配电区设置禁烟警示标识”措施的现场落实情况：</w:t>
            </w:r>
          </w:p>
          <w:p>
            <w:pPr>
              <w:ind w:firstLine="420" w:firstLineChars="200"/>
              <w:rPr>
                <w:rFonts w:hint="eastAsia" w:cs="宋体" w:asciiTheme="minorEastAsia" w:hAnsiTheme="minorEastAsia" w:eastAsiaTheme="minorEastAsia"/>
                <w:szCs w:val="21"/>
              </w:rPr>
            </w:pPr>
            <w:r>
              <w:drawing>
                <wp:inline distT="0" distB="0" distL="0" distR="0">
                  <wp:extent cx="2160905"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rcRect t="17452" b="12736"/>
                          <a:stretch>
                            <a:fillRect/>
                          </a:stretch>
                        </pic:blipFill>
                        <pic:spPr>
                          <a:xfrm>
                            <a:off x="0" y="0"/>
                            <a:ext cx="2166685" cy="2691113"/>
                          </a:xfrm>
                          <a:prstGeom prst="rect">
                            <a:avLst/>
                          </a:prstGeom>
                          <a:ln>
                            <a:noFill/>
                          </a:ln>
                        </pic:spPr>
                      </pic:pic>
                    </a:graphicData>
                  </a:graphic>
                </wp:inline>
              </w:drawing>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drawing>
                <wp:inline distT="0" distB="0" distL="0" distR="0">
                  <wp:extent cx="2085975" cy="26600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4"/>
                          <a:srcRect t="17558" b="10717"/>
                          <a:stretch>
                            <a:fillRect/>
                          </a:stretch>
                        </pic:blipFill>
                        <pic:spPr>
                          <a:xfrm>
                            <a:off x="0" y="0"/>
                            <a:ext cx="2090809" cy="2665840"/>
                          </a:xfrm>
                          <a:prstGeom prst="rect">
                            <a:avLst/>
                          </a:prstGeom>
                          <a:ln>
                            <a:noFill/>
                          </a:ln>
                        </pic:spPr>
                      </pic:pic>
                    </a:graphicData>
                  </a:graphic>
                </wp:inline>
              </w:drawing>
            </w:r>
          </w:p>
          <w:p>
            <w:pPr>
              <w:ind w:firstLine="420" w:firstLineChars="200"/>
              <w:rPr>
                <w:rFonts w:hint="eastAsia" w:cs="宋体" w:asciiTheme="minorEastAsia" w:hAnsiTheme="minorEastAsia" w:eastAsiaTheme="minorEastAsia"/>
                <w:szCs w:val="21"/>
              </w:rPr>
            </w:pPr>
          </w:p>
        </w:tc>
        <w:tc>
          <w:tcPr>
            <w:tcW w:w="1593" w:type="dxa"/>
          </w:tcPr>
          <w:p>
            <w:pPr>
              <w:spacing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jc w:val="center"/>
              <w:rPr>
                <w:rFonts w:ascii="楷体" w:hAnsi="楷体" w:eastAsia="楷体"/>
                <w:sz w:val="24"/>
                <w:szCs w:val="24"/>
              </w:rPr>
            </w:pPr>
          </w:p>
          <w:p>
            <w:pPr>
              <w:spacing w:line="360" w:lineRule="auto"/>
              <w:jc w:val="center"/>
              <w:rPr>
                <w:rFonts w:ascii="楷体" w:hAnsi="楷体" w:eastAsia="楷体"/>
                <w:sz w:val="24"/>
                <w:szCs w:val="24"/>
              </w:rPr>
            </w:pPr>
          </w:p>
          <w:p>
            <w:pPr>
              <w:spacing w:line="360" w:lineRule="auto"/>
              <w:jc w:val="center"/>
              <w:rPr>
                <w:rFonts w:ascii="楷体" w:hAnsi="楷体" w:eastAsia="楷体"/>
                <w:sz w:val="24"/>
                <w:szCs w:val="24"/>
              </w:rPr>
            </w:pPr>
          </w:p>
          <w:p>
            <w:pPr>
              <w:spacing w:line="360" w:lineRule="auto"/>
              <w:jc w:val="center"/>
              <w:rPr>
                <w:rFonts w:ascii="楷体" w:hAnsi="楷体" w:eastAsia="楷体"/>
                <w:sz w:val="24"/>
                <w:szCs w:val="24"/>
              </w:rPr>
            </w:pPr>
          </w:p>
          <w:p>
            <w:pPr>
              <w:spacing w:line="360" w:lineRule="auto"/>
              <w:jc w:val="center"/>
              <w:rPr>
                <w:rFonts w:ascii="楷体" w:hAnsi="楷体" w:eastAsia="楷体"/>
                <w:sz w:val="24"/>
                <w:szCs w:val="24"/>
              </w:rPr>
            </w:pPr>
          </w:p>
          <w:p>
            <w:pPr>
              <w:spacing w:line="360" w:lineRule="auto"/>
              <w:jc w:val="center"/>
              <w:rPr>
                <w:rFonts w:ascii="楷体" w:hAnsi="楷体" w:eastAsia="楷体"/>
                <w:sz w:val="24"/>
                <w:szCs w:val="24"/>
              </w:rPr>
            </w:pPr>
          </w:p>
          <w:p>
            <w:pPr>
              <w:spacing w:line="360" w:lineRule="auto"/>
              <w:jc w:val="center"/>
              <w:rPr>
                <w:rFonts w:ascii="楷体" w:hAnsi="楷体" w:eastAsia="楷体"/>
                <w:sz w:val="24"/>
                <w:szCs w:val="24"/>
              </w:rPr>
            </w:pPr>
          </w:p>
          <w:p>
            <w:pPr>
              <w:jc w:val="center"/>
              <w:rPr>
                <w:rFonts w:hint="eastAsia" w:ascii="楷体" w:hAnsi="楷体" w:eastAsia="楷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tcPr>
          <w:p>
            <w:pPr>
              <w:spacing w:line="280" w:lineRule="exact"/>
              <w:ind w:firstLine="420" w:firstLineChars="200"/>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合规义务</w:t>
            </w:r>
          </w:p>
        </w:tc>
        <w:tc>
          <w:tcPr>
            <w:tcW w:w="1318" w:type="dxa"/>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EO 6.1.3</w:t>
            </w:r>
            <w:r>
              <w:rPr>
                <w:rFonts w:cs="宋体" w:asciiTheme="minorEastAsia" w:hAnsiTheme="minorEastAsia" w:eastAsiaTheme="minorEastAsia"/>
                <w:szCs w:val="21"/>
              </w:rPr>
              <w:t xml:space="preserve"> </w:t>
            </w:r>
          </w:p>
          <w:p>
            <w:pPr>
              <w:spacing w:line="280" w:lineRule="exact"/>
              <w:ind w:firstLine="420" w:firstLineChars="200"/>
              <w:rPr>
                <w:rFonts w:cs="宋体" w:asciiTheme="minorEastAsia" w:hAnsiTheme="minorEastAsia" w:eastAsiaTheme="minorEastAsia"/>
                <w:szCs w:val="21"/>
              </w:rPr>
            </w:pPr>
          </w:p>
        </w:tc>
        <w:tc>
          <w:tcPr>
            <w:tcW w:w="10056" w:type="dxa"/>
            <w:vAlign w:val="center"/>
          </w:tcPr>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综合部提供有《法津法规及其他要求的获取与识别程序》</w:t>
            </w:r>
            <w:r>
              <w:rPr>
                <w:rFonts w:hint="eastAsia" w:asciiTheme="minorEastAsia" w:hAnsiTheme="minorEastAsia" w:eastAsiaTheme="minorEastAsia"/>
                <w:szCs w:val="21"/>
              </w:rPr>
              <w:t>（</w:t>
            </w:r>
            <w:r>
              <w:rPr>
                <w:rFonts w:asciiTheme="minorEastAsia" w:hAnsiTheme="minorEastAsia" w:eastAsiaTheme="minorEastAsia"/>
                <w:szCs w:val="21"/>
              </w:rPr>
              <w:t>XSL-QESP-03</w:t>
            </w:r>
            <w:r>
              <w:rPr>
                <w:rFonts w:hint="eastAsia" w:asciiTheme="minorEastAsia" w:hAnsiTheme="minorEastAsia" w:eastAsiaTheme="minorEastAsia"/>
                <w:szCs w:val="21"/>
              </w:rPr>
              <w:t>）。</w:t>
            </w:r>
            <w:r>
              <w:rPr>
                <w:rFonts w:hint="eastAsia" w:cs="宋体" w:asciiTheme="minorEastAsia" w:hAnsiTheme="minorEastAsia" w:eastAsiaTheme="minorEastAsia"/>
                <w:szCs w:val="21"/>
              </w:rPr>
              <w:t>综合部主要负责与工作相关的法律法规及其他要求的获取、识别、更新和转化，并组织宣导、评价。</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查公司2021年09月25日重新识别的《环境法律法规清单》和2021年</w:t>
            </w:r>
            <w:r>
              <w:rPr>
                <w:rFonts w:cs="宋体" w:asciiTheme="minorEastAsia" w:hAnsiTheme="minorEastAsia" w:eastAsiaTheme="minorEastAsia"/>
                <w:szCs w:val="21"/>
              </w:rPr>
              <w:t>11</w:t>
            </w:r>
            <w:r>
              <w:rPr>
                <w:rFonts w:hint="eastAsia" w:cs="宋体" w:asciiTheme="minorEastAsia" w:hAnsiTheme="minorEastAsia" w:eastAsiaTheme="minorEastAsia"/>
                <w:szCs w:val="21"/>
              </w:rPr>
              <w:t>月</w:t>
            </w:r>
            <w:r>
              <w:rPr>
                <w:rFonts w:cs="宋体" w:asciiTheme="minorEastAsia" w:hAnsiTheme="minorEastAsia" w:eastAsiaTheme="minorEastAsia"/>
                <w:szCs w:val="21"/>
              </w:rPr>
              <w:t>15</w:t>
            </w:r>
            <w:r>
              <w:rPr>
                <w:rFonts w:hint="eastAsia" w:cs="宋体" w:asciiTheme="minorEastAsia" w:hAnsiTheme="minorEastAsia" w:eastAsiaTheme="minorEastAsia"/>
                <w:szCs w:val="21"/>
              </w:rPr>
              <w:t>日重新识别的《职业健康安全法律法规清单》）：有环境法律法规清单3</w:t>
            </w:r>
            <w:r>
              <w:rPr>
                <w:rFonts w:cs="宋体" w:asciiTheme="minorEastAsia" w:hAnsiTheme="minorEastAsia" w:eastAsiaTheme="minorEastAsia"/>
                <w:szCs w:val="21"/>
              </w:rPr>
              <w:t>0</w:t>
            </w:r>
            <w:r>
              <w:rPr>
                <w:rFonts w:hint="eastAsia" w:cs="宋体" w:asciiTheme="minorEastAsia" w:hAnsiTheme="minorEastAsia" w:eastAsiaTheme="minorEastAsia"/>
                <w:szCs w:val="21"/>
              </w:rPr>
              <w:t>个、职业健康安全法律法规清单4</w:t>
            </w:r>
            <w:r>
              <w:rPr>
                <w:rFonts w:cs="宋体" w:asciiTheme="minorEastAsia" w:hAnsiTheme="minorEastAsia" w:eastAsiaTheme="minorEastAsia"/>
                <w:szCs w:val="21"/>
              </w:rPr>
              <w:t>6</w:t>
            </w:r>
            <w:r>
              <w:rPr>
                <w:rFonts w:hint="eastAsia" w:cs="宋体" w:asciiTheme="minorEastAsia" w:hAnsiTheme="minorEastAsia" w:eastAsiaTheme="minorEastAsia"/>
                <w:szCs w:val="21"/>
              </w:rPr>
              <w:t>个，并对2</w:t>
            </w:r>
            <w:r>
              <w:rPr>
                <w:rFonts w:cs="宋体" w:asciiTheme="minorEastAsia" w:hAnsiTheme="minorEastAsia" w:eastAsiaTheme="minorEastAsia"/>
                <w:szCs w:val="21"/>
              </w:rPr>
              <w:t>021</w:t>
            </w:r>
            <w:r>
              <w:rPr>
                <w:rFonts w:hint="eastAsia" w:cs="宋体" w:asciiTheme="minorEastAsia" w:hAnsiTheme="minorEastAsia" w:eastAsiaTheme="minorEastAsia"/>
                <w:szCs w:val="21"/>
              </w:rPr>
              <w:t>年发布的《道路交通安全法》《安全生产法》《消防法》《国家危险废物名录》等进行了更新。</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已识别出法律法规及其它要求的适用条款，能与环境因素、危险源相对应。</w:t>
            </w:r>
          </w:p>
          <w:p>
            <w:pPr>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综合部根据需要随时网上获取、识别更新，每年将《法律法规确认一览表》更新一次，特殊情况可随时更新。并通过培训、宣传、会议等形式传达给员工和相关方，各部门如有需要随时到综合部查阅。</w:t>
            </w:r>
          </w:p>
        </w:tc>
        <w:tc>
          <w:tcPr>
            <w:tcW w:w="1593" w:type="dxa"/>
          </w:tcPr>
          <w:p>
            <w:pPr>
              <w:spacing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jc w:val="center"/>
              <w:rPr>
                <w:rFonts w:ascii="楷体" w:hAnsi="楷体" w:eastAsia="楷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监视、测量、分析和评价——总则</w:t>
            </w:r>
          </w:p>
        </w:tc>
        <w:tc>
          <w:tcPr>
            <w:tcW w:w="1318" w:type="dxa"/>
          </w:tcPr>
          <w:p>
            <w:pPr>
              <w:tabs>
                <w:tab w:val="left" w:pos="6597"/>
              </w:tabs>
              <w:spacing w:line="280" w:lineRule="exact"/>
              <w:rPr>
                <w:rFonts w:cs="宋体" w:asciiTheme="minorEastAsia" w:hAnsiTheme="minorEastAsia" w:eastAsiaTheme="minorEastAsia"/>
                <w:szCs w:val="21"/>
              </w:rPr>
            </w:pPr>
          </w:p>
          <w:p>
            <w:pPr>
              <w:tabs>
                <w:tab w:val="left" w:pos="6597"/>
              </w:tabs>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QEO 9.1.1 </w:t>
            </w:r>
          </w:p>
        </w:tc>
        <w:tc>
          <w:tcPr>
            <w:tcW w:w="10056" w:type="dxa"/>
            <w:vAlign w:val="center"/>
          </w:tcPr>
          <w:p>
            <w:pPr>
              <w:ind w:firstLine="210" w:firstLineChars="100"/>
              <w:rPr>
                <w:rFonts w:cs="宋体" w:asciiTheme="minorEastAsia" w:hAnsiTheme="minorEastAsia" w:eastAsiaTheme="minorEastAsia"/>
                <w:szCs w:val="21"/>
              </w:rPr>
            </w:pPr>
            <w:r>
              <w:rPr>
                <w:rFonts w:hint="eastAsia" w:cs="宋体" w:asciiTheme="minorEastAsia" w:hAnsiTheme="minorEastAsia" w:eastAsiaTheme="minorEastAsia"/>
                <w:szCs w:val="21"/>
              </w:rPr>
              <w:t>综合部制定并组织实施《环境/职业健康安全监视和测量程序》（</w:t>
            </w:r>
            <w:r>
              <w:rPr>
                <w:rFonts w:cs="宋体" w:asciiTheme="minorEastAsia" w:hAnsiTheme="minorEastAsia" w:eastAsiaTheme="minorEastAsia"/>
                <w:szCs w:val="21"/>
              </w:rPr>
              <w:t>XSL-QESP-21</w:t>
            </w:r>
            <w:r>
              <w:rPr>
                <w:rFonts w:hint="eastAsia" w:cs="宋体" w:asciiTheme="minorEastAsia" w:hAnsiTheme="minorEastAsia" w:eastAsiaTheme="minorEastAsia"/>
                <w:szCs w:val="21"/>
              </w:rPr>
              <w:t>），综合部主要负责编制公司年度测量与监测计划，检查、监督计划的实施，对监测设备的日常管理情况进行监督，并负责组织非例行性的测量与监测。随机抽查各区域对资源使用、能源消耗情况、废弃物管理状况、相关方管理和投诉情况、法律法规的遵循情况、管理方案执行情况、用电安全、事故事件等。</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综合部每月进行环境安全事项例行检查，记录检查项目1</w:t>
            </w:r>
            <w:r>
              <w:rPr>
                <w:rFonts w:cs="宋体" w:asciiTheme="minorEastAsia" w:hAnsiTheme="minorEastAsia" w:eastAsiaTheme="minorEastAsia"/>
                <w:szCs w:val="21"/>
              </w:rPr>
              <w:t>2</w:t>
            </w:r>
            <w:r>
              <w:rPr>
                <w:rFonts w:hint="eastAsia" w:cs="宋体" w:asciiTheme="minorEastAsia" w:hAnsiTheme="minorEastAsia" w:eastAsiaTheme="minorEastAsia"/>
                <w:szCs w:val="21"/>
              </w:rPr>
              <w:t>项。提供了月度《环境和安全运行检查记录表》，其中各检查项目均有检查结果描述。</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抽查2021年</w:t>
            </w:r>
            <w:r>
              <w:rPr>
                <w:rFonts w:cs="宋体" w:asciiTheme="minorEastAsia" w:hAnsiTheme="minorEastAsia" w:eastAsiaTheme="minorEastAsia"/>
                <w:szCs w:val="21"/>
              </w:rPr>
              <w:t>9</w:t>
            </w:r>
            <w:r>
              <w:rPr>
                <w:rFonts w:hint="eastAsia" w:cs="宋体" w:asciiTheme="minorEastAsia" w:hAnsiTheme="minorEastAsia" w:eastAsiaTheme="minorEastAsia"/>
                <w:szCs w:val="21"/>
              </w:rPr>
              <w:t>月2</w:t>
            </w:r>
            <w:r>
              <w:rPr>
                <w:rFonts w:cs="宋体" w:asciiTheme="minorEastAsia" w:hAnsiTheme="minorEastAsia" w:eastAsiaTheme="minorEastAsia"/>
                <w:szCs w:val="21"/>
              </w:rPr>
              <w:t>0</w:t>
            </w:r>
            <w:r>
              <w:rPr>
                <w:rFonts w:hint="eastAsia" w:cs="宋体" w:asciiTheme="minorEastAsia" w:hAnsiTheme="minorEastAsia" w:eastAsiaTheme="minorEastAsia"/>
                <w:szCs w:val="21"/>
              </w:rPr>
              <w:t>、</w:t>
            </w:r>
            <w:r>
              <w:rPr>
                <w:rFonts w:cs="宋体" w:asciiTheme="minorEastAsia" w:hAnsiTheme="minorEastAsia" w:eastAsiaTheme="minorEastAsia"/>
                <w:szCs w:val="21"/>
              </w:rPr>
              <w:t>10</w:t>
            </w:r>
            <w:r>
              <w:rPr>
                <w:rFonts w:hint="eastAsia" w:cs="宋体" w:asciiTheme="minorEastAsia" w:hAnsiTheme="minorEastAsia" w:eastAsiaTheme="minorEastAsia"/>
                <w:szCs w:val="21"/>
              </w:rPr>
              <w:t>月</w:t>
            </w:r>
            <w:r>
              <w:rPr>
                <w:rFonts w:cs="宋体" w:asciiTheme="minorEastAsia" w:hAnsiTheme="minorEastAsia" w:eastAsiaTheme="minorEastAsia"/>
                <w:szCs w:val="21"/>
              </w:rPr>
              <w:t>20</w:t>
            </w:r>
            <w:r>
              <w:rPr>
                <w:rFonts w:hint="eastAsia" w:cs="宋体" w:asciiTheme="minorEastAsia" w:hAnsiTheme="minorEastAsia" w:eastAsiaTheme="minorEastAsia"/>
                <w:szCs w:val="21"/>
              </w:rPr>
              <w:t>日、</w:t>
            </w:r>
            <w:r>
              <w:rPr>
                <w:rFonts w:cs="宋体" w:asciiTheme="minorEastAsia" w:hAnsiTheme="minorEastAsia" w:eastAsiaTheme="minorEastAsia"/>
                <w:szCs w:val="21"/>
              </w:rPr>
              <w:t>11</w:t>
            </w:r>
            <w:r>
              <w:rPr>
                <w:rFonts w:hint="eastAsia" w:cs="宋体" w:asciiTheme="minorEastAsia" w:hAnsiTheme="minorEastAsia" w:eastAsiaTheme="minorEastAsia"/>
                <w:szCs w:val="21"/>
              </w:rPr>
              <w:t>月</w:t>
            </w:r>
            <w:r>
              <w:rPr>
                <w:rFonts w:cs="宋体" w:asciiTheme="minorEastAsia" w:hAnsiTheme="minorEastAsia" w:eastAsiaTheme="minorEastAsia"/>
                <w:szCs w:val="21"/>
              </w:rPr>
              <w:t>20</w:t>
            </w:r>
            <w:r>
              <w:rPr>
                <w:rFonts w:hint="eastAsia" w:cs="宋体" w:asciiTheme="minorEastAsia" w:hAnsiTheme="minorEastAsia" w:eastAsiaTheme="minorEastAsia"/>
                <w:szCs w:val="21"/>
              </w:rPr>
              <w:t>日等3个月的检查记录。检查结果未发现异常，检查人：陈建辉，审核人：林森泉。</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与综合部负责人交流，日常工作关注员工身体状况，当员工身体不适请假时，及时跟踪了解其健康状况。有职业病前兆后，及时安排员工休息、调岗或改善工作环境。</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查公司对供方的《服务质量检查评定表》：检查项目10项，明确了项目及要点、检评内容。提供了</w:t>
            </w:r>
            <w:r>
              <w:rPr>
                <w:rFonts w:cs="宋体" w:asciiTheme="minorEastAsia" w:hAnsiTheme="minorEastAsia" w:eastAsiaTheme="minorEastAsia"/>
                <w:szCs w:val="21"/>
              </w:rPr>
              <w:t>2021.3.2</w:t>
            </w:r>
            <w:r>
              <w:rPr>
                <w:rFonts w:hint="eastAsia" w:cs="宋体" w:asciiTheme="minorEastAsia" w:hAnsiTheme="minorEastAsia" w:eastAsiaTheme="minorEastAsia"/>
                <w:szCs w:val="21"/>
              </w:rPr>
              <w:t>的2个评定表：</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1）业务员：陈建辉；客户：丹东市九龙墓园管理所、德阳龙井公墓服务有限公司；合计评分：1</w:t>
            </w:r>
            <w:r>
              <w:rPr>
                <w:rFonts w:cs="宋体" w:asciiTheme="minorEastAsia" w:hAnsiTheme="minorEastAsia" w:eastAsiaTheme="minorEastAsia"/>
                <w:szCs w:val="21"/>
              </w:rPr>
              <w:t>00</w:t>
            </w:r>
            <w:r>
              <w:rPr>
                <w:rFonts w:hint="eastAsia" w:cs="宋体" w:asciiTheme="minorEastAsia" w:hAnsiTheme="minorEastAsia" w:eastAsiaTheme="minorEastAsia"/>
                <w:szCs w:val="21"/>
              </w:rPr>
              <w:t>。</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检查评语及改进意见：加强督促供应商交付产品，保证及时性。</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2）业务员：周雪平；客户：成都市峰和石材有限公司、衡阳县恒兴花岗石有限公司；合计评分：1</w:t>
            </w:r>
            <w:r>
              <w:rPr>
                <w:rFonts w:cs="宋体" w:asciiTheme="minorEastAsia" w:hAnsiTheme="minorEastAsia" w:eastAsiaTheme="minorEastAsia"/>
                <w:szCs w:val="21"/>
              </w:rPr>
              <w:t>00</w:t>
            </w:r>
            <w:r>
              <w:rPr>
                <w:rFonts w:hint="eastAsia" w:cs="宋体" w:asciiTheme="minorEastAsia" w:hAnsiTheme="minorEastAsia" w:eastAsiaTheme="minorEastAsia"/>
                <w:szCs w:val="21"/>
              </w:rPr>
              <w:t>。</w:t>
            </w:r>
          </w:p>
          <w:p>
            <w:pPr>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检查评语及改进意见：及时与客户沟通产品要求，并评审客户要求。</w:t>
            </w:r>
          </w:p>
        </w:tc>
        <w:tc>
          <w:tcPr>
            <w:tcW w:w="1593" w:type="dxa"/>
          </w:tcPr>
          <w:p>
            <w:pPr>
              <w:spacing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jc w:val="center"/>
              <w:rPr>
                <w:rFonts w:ascii="楷体" w:hAnsi="楷体" w:eastAsia="楷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合规性评价</w:t>
            </w:r>
          </w:p>
        </w:tc>
        <w:tc>
          <w:tcPr>
            <w:tcW w:w="1318" w:type="dxa"/>
          </w:tcPr>
          <w:p>
            <w:pPr>
              <w:tabs>
                <w:tab w:val="left" w:pos="6597"/>
              </w:tabs>
              <w:spacing w:line="280" w:lineRule="exact"/>
              <w:rPr>
                <w:rFonts w:cs="宋体" w:asciiTheme="minorEastAsia" w:hAnsiTheme="minorEastAsia" w:eastAsiaTheme="minorEastAsia"/>
                <w:szCs w:val="21"/>
              </w:rPr>
            </w:pPr>
          </w:p>
          <w:p>
            <w:pPr>
              <w:tabs>
                <w:tab w:val="left" w:pos="6597"/>
              </w:tabs>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EO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9.1.2 </w:t>
            </w:r>
          </w:p>
        </w:tc>
        <w:tc>
          <w:tcPr>
            <w:tcW w:w="10056" w:type="dxa"/>
            <w:vAlign w:val="center"/>
          </w:tcPr>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综合部制定并组织实施《合规性评价控制程序》（</w:t>
            </w:r>
            <w:r>
              <w:rPr>
                <w:rFonts w:cs="宋体" w:asciiTheme="minorEastAsia" w:hAnsiTheme="minorEastAsia" w:eastAsiaTheme="minorEastAsia"/>
                <w:szCs w:val="21"/>
              </w:rPr>
              <w:t>XSL-QESP</w:t>
            </w:r>
            <w:r>
              <w:rPr>
                <w:rFonts w:asciiTheme="minorEastAsia" w:hAnsiTheme="minorEastAsia" w:eastAsiaTheme="minorEastAsia"/>
                <w:szCs w:val="21"/>
              </w:rPr>
              <w:t>-</w:t>
            </w:r>
            <w:r>
              <w:rPr>
                <w:rFonts w:hint="eastAsia" w:asciiTheme="minorEastAsia" w:hAnsiTheme="minorEastAsia" w:eastAsiaTheme="minorEastAsia"/>
                <w:szCs w:val="21"/>
              </w:rPr>
              <w:t>23</w:t>
            </w:r>
            <w:r>
              <w:rPr>
                <w:rFonts w:hint="eastAsia" w:cs="宋体" w:asciiTheme="minorEastAsia" w:hAnsiTheme="minorEastAsia" w:eastAsiaTheme="minorEastAsia"/>
                <w:szCs w:val="21"/>
              </w:rPr>
              <w:t>）。</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查公司《合规性评价报告》（2021年09月25日），评价人员：林森泉、周雪平、陈建辉，审批：陈建阳。</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公司就环境、职业健康安全管理体系运行过程中，应当遵循的国家环境保护、安全防护法律法规的承诺状况做了条款对应检查和评审，对确认的重要环境因素和重大危险源的控制进行了文件记录评审、现场检查和验证抽样检查，结合本年度内审做了合规性检查和评价。评价过程分为文件记录评审、现场检查和抽取部分运行控制记录的方法。</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报告对污染源进行了评价、验证、检查等，提出了问题和改进要求：“通过评价证实本公司合规性行为符合国家法律法规要求，但在具体执行过程中还应加强平时的控制。在检查中发现环境、职业健康安全目标的量化和指标的考核，需要编制相应的操作文件。”</w:t>
            </w:r>
          </w:p>
          <w:p>
            <w:pPr>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评价结论：“公司对环境因素和危险源的控制活动能够遵循相关法律法规要求，无违反法律法规现象的发生。”</w:t>
            </w:r>
          </w:p>
          <w:p>
            <w:pPr>
              <w:ind w:left="357"/>
              <w:rPr>
                <w:rFonts w:hint="eastAsia" w:cs="宋体" w:asciiTheme="minorEastAsia" w:hAnsiTheme="minorEastAsia" w:eastAsiaTheme="minorEastAsia"/>
                <w:szCs w:val="21"/>
              </w:rPr>
            </w:pPr>
            <w:r>
              <w:rPr>
                <w:rFonts w:hint="eastAsia" w:cs="宋体" w:asciiTheme="minorEastAsia" w:hAnsiTheme="minorEastAsia" w:eastAsiaTheme="minorEastAsia"/>
                <w:szCs w:val="21"/>
              </w:rPr>
              <w:t>经交流，相关法律法规在公司得到了较好的贯彻，没有出现违反标准和法律法规的规定。</w:t>
            </w:r>
          </w:p>
        </w:tc>
        <w:tc>
          <w:tcPr>
            <w:tcW w:w="1593" w:type="dxa"/>
          </w:tcPr>
          <w:p>
            <w:pPr>
              <w:spacing w:line="360" w:lineRule="auto"/>
              <w:jc w:val="center"/>
              <w:rPr>
                <w:rFonts w:asciiTheme="majorEastAsia" w:hAnsiTheme="majorEastAsia" w:eastAsiaTheme="majorEastAsia"/>
                <w:sz w:val="24"/>
                <w:szCs w:val="24"/>
              </w:rPr>
            </w:pPr>
            <w:r>
              <w:rPr>
                <w:rFonts w:hint="eastAsia" w:asciiTheme="majorEastAsia" w:hAnsiTheme="majorEastAsia" w:eastAsiaTheme="majorEastAsia"/>
                <w:sz w:val="24"/>
                <w:szCs w:val="24"/>
              </w:rPr>
              <w:t>OK</w:t>
            </w:r>
          </w:p>
          <w:p>
            <w:pPr>
              <w:spacing w:line="360" w:lineRule="auto"/>
              <w:jc w:val="center"/>
              <w:rPr>
                <w:rFonts w:ascii="楷体" w:hAnsi="楷体" w:eastAsia="楷体"/>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8" w:hRule="atLeast"/>
          <w:jc w:val="center"/>
        </w:trPr>
        <w:tc>
          <w:tcPr>
            <w:tcW w:w="1819" w:type="dxa"/>
            <w:vAlign w:val="top"/>
          </w:tcPr>
          <w:p>
            <w:pPr>
              <w:spacing w:line="280" w:lineRule="exact"/>
              <w:rPr>
                <w:rFonts w:cs="宋体" w:asciiTheme="minorEastAsia" w:hAnsiTheme="minorEastAsia" w:eastAsiaTheme="minorEastAsia"/>
                <w:szCs w:val="21"/>
              </w:rPr>
            </w:pPr>
          </w:p>
          <w:p>
            <w:pPr>
              <w:spacing w:line="280" w:lineRule="exact"/>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分析和评价</w:t>
            </w:r>
          </w:p>
        </w:tc>
        <w:tc>
          <w:tcPr>
            <w:tcW w:w="1318" w:type="dxa"/>
            <w:vAlign w:val="top"/>
          </w:tcPr>
          <w:p>
            <w:pPr>
              <w:tabs>
                <w:tab w:val="left" w:pos="6597"/>
              </w:tabs>
              <w:spacing w:line="280" w:lineRule="exact"/>
              <w:rPr>
                <w:rFonts w:cs="宋体" w:asciiTheme="minorEastAsia" w:hAnsiTheme="minorEastAsia" w:eastAsiaTheme="minorEastAsia"/>
                <w:szCs w:val="21"/>
              </w:rPr>
            </w:pPr>
          </w:p>
          <w:p>
            <w:pPr>
              <w:tabs>
                <w:tab w:val="left" w:pos="6597"/>
              </w:tabs>
              <w:spacing w:line="280" w:lineRule="exact"/>
              <w:rPr>
                <w:rFonts w:hint="eastAsia" w:cs="宋体" w:asciiTheme="minorEastAsia" w:hAnsiTheme="minorEastAsia" w:eastAsiaTheme="minorEastAsia"/>
                <w:kern w:val="2"/>
                <w:sz w:val="21"/>
                <w:szCs w:val="21"/>
                <w:lang w:val="en-US" w:eastAsia="zh-CN" w:bidi="ar-SA"/>
              </w:rPr>
            </w:pPr>
            <w:r>
              <w:rPr>
                <w:rFonts w:hint="eastAsia" w:cs="宋体" w:asciiTheme="minorEastAsia" w:hAnsiTheme="minorEastAsia" w:eastAsiaTheme="minorEastAsia"/>
                <w:szCs w:val="21"/>
              </w:rPr>
              <w:t>Q 9.1.</w:t>
            </w:r>
            <w:r>
              <w:rPr>
                <w:rFonts w:hint="eastAsia" w:cs="宋体" w:asciiTheme="minorEastAsia" w:hAnsiTheme="minorEastAsia" w:eastAsiaTheme="minorEastAsia"/>
                <w:szCs w:val="21"/>
                <w:lang w:val="en-US" w:eastAsia="zh-CN"/>
              </w:rPr>
              <w:t>3</w:t>
            </w:r>
            <w:r>
              <w:rPr>
                <w:rFonts w:hint="eastAsia" w:cs="宋体" w:asciiTheme="minorEastAsia" w:hAnsiTheme="minorEastAsia" w:eastAsiaTheme="minorEastAsia"/>
                <w:szCs w:val="21"/>
              </w:rPr>
              <w:t xml:space="preserve"> </w:t>
            </w:r>
          </w:p>
        </w:tc>
        <w:tc>
          <w:tcPr>
            <w:tcW w:w="10056" w:type="dxa"/>
            <w:vAlign w:val="center"/>
          </w:tcPr>
          <w:p>
            <w:pPr>
              <w:ind w:firstLine="420" w:firstLineChars="200"/>
              <w:rPr>
                <w:rFonts w:hint="default" w:cs="宋体" w:asciiTheme="minorEastAsia" w:hAnsiTheme="minorEastAsia" w:eastAsiaTheme="minorEastAsia"/>
                <w:szCs w:val="21"/>
                <w:lang w:val="en-US"/>
              </w:rPr>
            </w:pPr>
            <w:r>
              <w:rPr>
                <w:rFonts w:hint="eastAsia" w:cs="宋体" w:asciiTheme="minorEastAsia" w:hAnsiTheme="minorEastAsia" w:eastAsiaTheme="minorEastAsia"/>
                <w:szCs w:val="21"/>
              </w:rPr>
              <w:t>信息和数据分析</w:t>
            </w:r>
            <w:r>
              <w:rPr>
                <w:rFonts w:hint="eastAsia" w:cs="宋体" w:asciiTheme="minorEastAsia" w:hAnsiTheme="minorEastAsia" w:eastAsiaTheme="minorEastAsia"/>
                <w:szCs w:val="21"/>
                <w:lang w:val="en-US" w:eastAsia="zh-CN"/>
              </w:rPr>
              <w:t>采用方法有调查表，对比分析，统计表及趋势图等；</w:t>
            </w:r>
          </w:p>
          <w:p>
            <w:pPr>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lang w:val="en-US" w:eastAsia="zh-CN"/>
              </w:rPr>
              <w:t>公司</w:t>
            </w:r>
            <w:r>
              <w:rPr>
                <w:rFonts w:hint="eastAsia" w:cs="宋体" w:asciiTheme="minorEastAsia" w:hAnsiTheme="minorEastAsia" w:eastAsiaTheme="minorEastAsia"/>
                <w:szCs w:val="21"/>
              </w:rPr>
              <w:t>通过对管理目标的状态评价产品和服务的符合性良好；</w:t>
            </w:r>
          </w:p>
          <w:p>
            <w:pPr>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对顾客满意度评价为达到目标要求；</w:t>
            </w:r>
          </w:p>
          <w:p>
            <w:pPr>
              <w:ind w:firstLine="420" w:firstLineChars="200"/>
              <w:rPr>
                <w:rFonts w:hint="eastAsia" w:cs="宋体" w:asciiTheme="minorEastAsia" w:hAnsiTheme="minorEastAsia" w:eastAsiaTheme="minorEastAsia"/>
                <w:szCs w:val="21"/>
                <w:lang w:eastAsia="zh-CN"/>
              </w:rPr>
            </w:pPr>
            <w:r>
              <w:rPr>
                <w:rFonts w:hint="eastAsia" w:cs="宋体" w:asciiTheme="minorEastAsia" w:hAnsiTheme="minorEastAsia" w:eastAsiaTheme="minorEastAsia"/>
                <w:szCs w:val="21"/>
              </w:rPr>
              <w:t>外部供方及时沟通处理和质量经分析均满足要求，</w:t>
            </w:r>
            <w:r>
              <w:rPr>
                <w:rFonts w:hint="eastAsia" w:cs="宋体" w:asciiTheme="minorEastAsia" w:hAnsiTheme="minorEastAsia" w:eastAsiaTheme="minorEastAsia"/>
                <w:szCs w:val="21"/>
                <w:lang w:val="en-US" w:eastAsia="zh-CN"/>
              </w:rPr>
              <w:t>评价</w:t>
            </w:r>
            <w:r>
              <w:rPr>
                <w:rFonts w:hint="eastAsia" w:cs="宋体" w:asciiTheme="minorEastAsia" w:hAnsiTheme="minorEastAsia" w:eastAsiaTheme="minorEastAsia"/>
                <w:szCs w:val="21"/>
              </w:rPr>
              <w:t>绩效良好</w:t>
            </w:r>
            <w:r>
              <w:rPr>
                <w:rFonts w:hint="eastAsia" w:cs="宋体" w:asciiTheme="minorEastAsia" w:hAnsiTheme="minorEastAsia" w:eastAsiaTheme="minorEastAsia"/>
                <w:szCs w:val="21"/>
                <w:lang w:eastAsia="zh-CN"/>
              </w:rPr>
              <w:t>；</w:t>
            </w:r>
          </w:p>
          <w:p>
            <w:pPr>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通过内审评审公司管理体系的策划已有效实施；</w:t>
            </w:r>
          </w:p>
          <w:p>
            <w:pPr>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通过管理评审评价公司应对风险和机遇所采取措施有效，管理体系有效、绩效良好，评价出管理体系改进的需求加强风险管控。</w:t>
            </w:r>
          </w:p>
        </w:tc>
        <w:tc>
          <w:tcPr>
            <w:tcW w:w="1593" w:type="dxa"/>
          </w:tcPr>
          <w:p>
            <w:pPr>
              <w:spacing w:line="360" w:lineRule="auto"/>
              <w:jc w:val="center"/>
              <w:rPr>
                <w:rFonts w:hint="default" w:asciiTheme="majorEastAsia" w:hAnsiTheme="majorEastAsia" w:eastAsiaTheme="majorEastAsia"/>
                <w:sz w:val="24"/>
                <w:szCs w:val="24"/>
                <w:lang w:val="en-US" w:eastAsia="zh-CN"/>
              </w:rPr>
            </w:pPr>
            <w:r>
              <w:rPr>
                <w:rFonts w:hint="eastAsia" w:asciiTheme="majorEastAsia" w:hAnsiTheme="majorEastAsia" w:eastAsiaTheme="majorEastAsia"/>
                <w:sz w:val="24"/>
                <w:szCs w:val="24"/>
                <w:lang w:val="en-US" w:eastAsia="zh-CN"/>
              </w:rPr>
              <w:t>OK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8" w:hRule="atLeast"/>
          <w:jc w:val="center"/>
        </w:trPr>
        <w:tc>
          <w:tcPr>
            <w:tcW w:w="1819" w:type="dxa"/>
            <w:vAlign w:val="top"/>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内部审核</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tc>
        <w:tc>
          <w:tcPr>
            <w:tcW w:w="1318" w:type="dxa"/>
            <w:vAlign w:val="top"/>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QEO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9.2</w:t>
            </w:r>
          </w:p>
          <w:p>
            <w:pPr>
              <w:spacing w:line="280" w:lineRule="exact"/>
              <w:ind w:firstLine="420" w:firstLineChars="200"/>
              <w:rPr>
                <w:rFonts w:hint="eastAsia" w:cs="宋体" w:asciiTheme="minorEastAsia" w:hAnsiTheme="minorEastAsia" w:eastAsiaTheme="minorEastAsia"/>
                <w:kern w:val="2"/>
                <w:sz w:val="21"/>
                <w:szCs w:val="21"/>
                <w:lang w:val="en-US" w:eastAsia="zh-CN" w:bidi="ar-SA"/>
              </w:rPr>
            </w:pPr>
          </w:p>
        </w:tc>
        <w:tc>
          <w:tcPr>
            <w:tcW w:w="10056" w:type="dxa"/>
            <w:vAlign w:val="center"/>
          </w:tcPr>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综合部制定并组织实施《内部审核管理程序》（</w:t>
            </w:r>
            <w:r>
              <w:rPr>
                <w:rFonts w:cs="宋体" w:asciiTheme="minorEastAsia" w:hAnsiTheme="minorEastAsia" w:eastAsiaTheme="minorEastAsia"/>
                <w:szCs w:val="21"/>
              </w:rPr>
              <w:t>XSL-QESP-24</w:t>
            </w:r>
            <w:r>
              <w:rPr>
                <w:rFonts w:hint="eastAsia" w:cs="宋体" w:asciiTheme="minorEastAsia" w:hAnsiTheme="minorEastAsia" w:eastAsiaTheme="minorEastAsia"/>
                <w:szCs w:val="21"/>
              </w:rPr>
              <w:t>），并能按体系标准要求对本年度内部审核的策划、实施、人员安排与资质、内部审核的记录、不符合项的分析与验证，以及审核的结论等开展内部审核活动。</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综合部本年度组织了1次内部审核，抽查内部审核情况：</w:t>
            </w:r>
          </w:p>
          <w:p>
            <w:pPr>
              <w:snapToGrid w:val="0"/>
              <w:spacing w:line="32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1）提供《2</w:t>
            </w:r>
            <w:r>
              <w:rPr>
                <w:rFonts w:cs="宋体" w:asciiTheme="minorEastAsia" w:hAnsiTheme="minorEastAsia" w:eastAsiaTheme="minorEastAsia"/>
                <w:szCs w:val="21"/>
              </w:rPr>
              <w:t>021</w:t>
            </w:r>
            <w:r>
              <w:rPr>
                <w:rFonts w:hint="eastAsia" w:cs="宋体" w:asciiTheme="minorEastAsia" w:hAnsiTheme="minorEastAsia" w:eastAsiaTheme="minorEastAsia"/>
                <w:szCs w:val="21"/>
              </w:rPr>
              <w:t>年度内审计划》，审批人：陈建阳。策划审核时间为2021年11月中旬。</w:t>
            </w:r>
          </w:p>
          <w:p>
            <w:pPr>
              <w:snapToGrid w:val="0"/>
              <w:spacing w:line="32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2）查《2021年内部审核实施计划》，2021年11月09日审批，审批人：陈建阳。审核内容包括：审核目的、审核范围、审核依据、审核组成员，审核日程安排，审核日期：2021年11月14日。</w:t>
            </w:r>
          </w:p>
          <w:p>
            <w:pPr>
              <w:snapToGrid w:val="0"/>
              <w:spacing w:line="32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审核目的：确定质量/环境/职业健康安全管理体系标准要求及是否有效运行。</w:t>
            </w:r>
          </w:p>
          <w:p>
            <w:pPr>
              <w:snapToGrid w:val="0"/>
              <w:spacing w:line="320" w:lineRule="exact"/>
              <w:ind w:firstLine="420" w:firstLineChars="200"/>
              <w:jc w:val="left"/>
              <w:rPr>
                <w:rFonts w:cs="宋体" w:asciiTheme="minorEastAsia" w:hAnsiTheme="minorEastAsia" w:eastAsiaTheme="minorEastAsia"/>
                <w:szCs w:val="21"/>
              </w:rPr>
            </w:pPr>
            <w:r>
              <w:rPr>
                <w:rFonts w:hint="eastAsia" w:cs="宋体" w:asciiTheme="minorEastAsia" w:hAnsiTheme="minorEastAsia" w:eastAsiaTheme="minorEastAsia"/>
                <w:szCs w:val="21"/>
              </w:rPr>
              <w:t>审核依据：GB/T19001-2016 、GB/T24001-2016、GB/T 45001-2020标准及公司质量、环境、职业健康安全管理体系文件、相关的合同、有关的强制性法令、法规和技术规范等。</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审核组成员：组长：林森泉（A）</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 xml:space="preserve">组员：黄惠泉 (B) </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审核按计划进行，提供有首、末次会议签到和会议记录。审核计划已考虑到互查的公正性，无审核员审核本部门情况，计划内容涉及各部门，条款覆盖整个标准。</w:t>
            </w:r>
          </w:p>
          <w:p>
            <w:pPr>
              <w:ind w:firstLine="420" w:firstLineChars="200"/>
              <w:jc w:val="center"/>
              <w:rPr>
                <w:rFonts w:hint="eastAsia" w:cs="宋体" w:asciiTheme="minorEastAsia" w:hAnsiTheme="minorEastAsia" w:eastAsiaTheme="minorEastAsia"/>
                <w:szCs w:val="21"/>
              </w:rPr>
            </w:pPr>
            <w:r>
              <w:drawing>
                <wp:inline distT="0" distB="0" distL="0" distR="0">
                  <wp:extent cx="2543810" cy="1597025"/>
                  <wp:effectExtent l="0" t="0" r="889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t="12770" b="51896"/>
                          <a:stretch>
                            <a:fillRect/>
                          </a:stretch>
                        </pic:blipFill>
                        <pic:spPr>
                          <a:xfrm>
                            <a:off x="0" y="0"/>
                            <a:ext cx="2560106" cy="1607399"/>
                          </a:xfrm>
                          <a:prstGeom prst="rect">
                            <a:avLst/>
                          </a:prstGeom>
                          <a:ln>
                            <a:noFill/>
                          </a:ln>
                        </pic:spPr>
                      </pic:pic>
                    </a:graphicData>
                  </a:graphic>
                </wp:inline>
              </w:drawing>
            </w:r>
            <w:r>
              <w:rPr>
                <w:rFonts w:hint="eastAsia" w:cs="宋体" w:asciiTheme="minorEastAsia" w:hAnsiTheme="minorEastAsia" w:eastAsiaTheme="minorEastAsia"/>
                <w:szCs w:val="21"/>
              </w:rPr>
              <w:t xml:space="preserve"> </w:t>
            </w:r>
            <w:r>
              <w:rPr>
                <w:rFonts w:cs="宋体" w:asciiTheme="minorEastAsia" w:hAnsiTheme="minorEastAsia" w:eastAsiaTheme="minorEastAsia"/>
                <w:szCs w:val="21"/>
              </w:rPr>
              <w:t xml:space="preserve"> </w:t>
            </w:r>
            <w:r>
              <w:rPr>
                <w:rFonts w:cs="宋体" w:asciiTheme="minorEastAsia" w:hAnsiTheme="minorEastAsia" w:eastAsiaTheme="minorEastAsia"/>
                <w:szCs w:val="21"/>
              </w:rPr>
              <w:drawing>
                <wp:inline distT="0" distB="0" distL="0" distR="0">
                  <wp:extent cx="2398395" cy="1587500"/>
                  <wp:effectExtent l="0" t="0" r="190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t="20006" b="42748"/>
                          <a:stretch>
                            <a:fillRect/>
                          </a:stretch>
                        </pic:blipFill>
                        <pic:spPr>
                          <a:xfrm>
                            <a:off x="0" y="0"/>
                            <a:ext cx="2416978" cy="1599635"/>
                          </a:xfrm>
                          <a:prstGeom prst="rect">
                            <a:avLst/>
                          </a:prstGeom>
                          <a:noFill/>
                          <a:ln>
                            <a:noFill/>
                          </a:ln>
                        </pic:spPr>
                      </pic:pic>
                    </a:graphicData>
                  </a:graphic>
                </wp:inline>
              </w:drawing>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提供有《内部审核检查清单》，其中包括总经理/管理者代表、综合部、业务部的审核记录，条款与策划一致，记录真实、完整。</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本次内审发现2个一般不符合项，明确不符合标准条款和负责部门，开具不合格项报告，综合部门确认了不合格，并进行原因分析和整改，有记录并对整改效果进行验证，不符合已整改关闭。</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抽查综合部第2项不符合（不符合事实：现场未设置垃圾分类回收装置）的培训措施和现场整改措施落实情况：</w:t>
            </w:r>
          </w:p>
          <w:p>
            <w:pPr>
              <w:jc w:val="center"/>
              <w:rPr>
                <w:rFonts w:hint="eastAsia" w:cs="宋体" w:asciiTheme="minorEastAsia" w:hAnsiTheme="minorEastAsia" w:eastAsiaTheme="minorEastAsia"/>
                <w:szCs w:val="21"/>
              </w:rPr>
            </w:pPr>
            <w:r>
              <w:drawing>
                <wp:inline distT="0" distB="0" distL="0" distR="0">
                  <wp:extent cx="2348230" cy="2822575"/>
                  <wp:effectExtent l="0" t="0" r="1397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357916" cy="2834338"/>
                          </a:xfrm>
                          <a:prstGeom prst="rect">
                            <a:avLst/>
                          </a:prstGeom>
                        </pic:spPr>
                      </pic:pic>
                    </a:graphicData>
                  </a:graphic>
                </wp:inline>
              </w:drawing>
            </w:r>
            <w:r>
              <w:rPr>
                <w:rFonts w:cs="宋体" w:asciiTheme="minorEastAsia" w:hAnsiTheme="minorEastAsia" w:eastAsiaTheme="minorEastAsia"/>
                <w:szCs w:val="21"/>
              </w:rPr>
              <w:drawing>
                <wp:inline distT="0" distB="0" distL="0" distR="0">
                  <wp:extent cx="1478280" cy="1971040"/>
                  <wp:effectExtent l="0" t="0" r="7620" b="1016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479291" cy="1972203"/>
                          </a:xfrm>
                          <a:prstGeom prst="rect">
                            <a:avLst/>
                          </a:prstGeom>
                          <a:noFill/>
                        </pic:spPr>
                      </pic:pic>
                    </a:graphicData>
                  </a:graphic>
                </wp:inline>
              </w:drawing>
            </w:r>
            <w:r>
              <w:rPr>
                <w:rFonts w:cs="宋体" w:asciiTheme="minorEastAsia" w:hAnsiTheme="minorEastAsia" w:eastAsiaTheme="minorEastAsia"/>
                <w:szCs w:val="21"/>
              </w:rPr>
              <w:drawing>
                <wp:inline distT="0" distB="0" distL="0" distR="0">
                  <wp:extent cx="1503045" cy="2005330"/>
                  <wp:effectExtent l="0" t="0" r="190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511885" cy="2017455"/>
                          </a:xfrm>
                          <a:prstGeom prst="rect">
                            <a:avLst/>
                          </a:prstGeom>
                          <a:noFill/>
                          <a:ln>
                            <a:noFill/>
                          </a:ln>
                        </pic:spPr>
                      </pic:pic>
                    </a:graphicData>
                  </a:graphic>
                </wp:inline>
              </w:drawing>
            </w:r>
          </w:p>
          <w:p>
            <w:pPr>
              <w:spacing w:line="280" w:lineRule="exact"/>
              <w:ind w:firstLine="420" w:firstLineChars="200"/>
              <w:rPr>
                <w:rFonts w:hint="eastAsia" w:cs="宋体" w:asciiTheme="minorEastAsia" w:hAnsiTheme="minorEastAsia" w:eastAsiaTheme="minorEastAsia"/>
                <w:szCs w:val="21"/>
              </w:rPr>
            </w:pP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提供有《年度内部审核报告》，对现场审核进行了综述，对质量、环境和职业健康安全管理体系进行了符合性的综合评价，审核结论为：本公司建立的质量、环境、职业健康安全管理体系符GB/T19001-2016 、GB/T24001-2016、GB/T45001-2020标准要求；方针、目标的建立，符合本公司实际情况，并且包含了持续改进行承诺，在组织内各层次得到了传达和贯彻；公司建立的质量、环境、职业健康安全管理体系得以有效运行。</w:t>
            </w:r>
          </w:p>
          <w:p>
            <w:pPr>
              <w:spacing w:line="28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报告人：林森泉。日期：2021年</w:t>
            </w:r>
            <w:r>
              <w:rPr>
                <w:rFonts w:cs="宋体" w:asciiTheme="minorEastAsia" w:hAnsiTheme="minorEastAsia" w:eastAsiaTheme="minorEastAsia"/>
                <w:szCs w:val="21"/>
              </w:rPr>
              <w:t>11</w:t>
            </w:r>
            <w:r>
              <w:rPr>
                <w:rFonts w:hint="eastAsia" w:cs="宋体" w:asciiTheme="minorEastAsia" w:hAnsiTheme="minorEastAsia" w:eastAsiaTheme="minorEastAsia"/>
                <w:szCs w:val="21"/>
              </w:rPr>
              <w:t>月1</w:t>
            </w:r>
            <w:r>
              <w:rPr>
                <w:rFonts w:cs="宋体" w:asciiTheme="minorEastAsia" w:hAnsiTheme="minorEastAsia" w:eastAsiaTheme="minorEastAsia"/>
                <w:szCs w:val="21"/>
              </w:rPr>
              <w:t>4</w:t>
            </w:r>
            <w:r>
              <w:rPr>
                <w:rFonts w:hint="eastAsia" w:cs="宋体" w:asciiTheme="minorEastAsia" w:hAnsiTheme="minorEastAsia" w:eastAsiaTheme="minorEastAsia"/>
                <w:szCs w:val="21"/>
              </w:rPr>
              <w:t>日</w:t>
            </w:r>
          </w:p>
          <w:p>
            <w:pPr>
              <w:spacing w:line="280" w:lineRule="exact"/>
              <w:ind w:firstLine="420" w:firstLineChars="200"/>
              <w:rPr>
                <w:rFonts w:hint="eastAsia" w:cs="宋体" w:asciiTheme="minorEastAsia" w:hAnsiTheme="minorEastAsia" w:eastAsiaTheme="minorEastAsia"/>
                <w:kern w:val="2"/>
                <w:sz w:val="24"/>
                <w:szCs w:val="24"/>
                <w:lang w:val="en-US" w:eastAsia="zh-CN" w:bidi="ar-SA"/>
              </w:rPr>
            </w:pPr>
            <w:r>
              <w:rPr>
                <w:rFonts w:hint="eastAsia" w:cs="宋体" w:asciiTheme="minorEastAsia" w:hAnsiTheme="minorEastAsia" w:eastAsiaTheme="minorEastAsia"/>
                <w:szCs w:val="21"/>
              </w:rPr>
              <w:t>公司内部审核活动基本符合标准要求。</w:t>
            </w:r>
          </w:p>
        </w:tc>
        <w:tc>
          <w:tcPr>
            <w:tcW w:w="1593" w:type="dxa"/>
          </w:tcPr>
          <w:p>
            <w:pPr>
              <w:spacing w:line="360" w:lineRule="auto"/>
              <w:jc w:val="center"/>
              <w:rPr>
                <w:rFonts w:hint="eastAsia" w:asciiTheme="majorEastAsia" w:hAnsiTheme="majorEastAsia" w:eastAsiaTheme="majorEastAsia"/>
                <w:sz w:val="24"/>
                <w:szCs w:val="24"/>
                <w:lang w:val="en-US" w:eastAsia="zh-CN"/>
              </w:rPr>
            </w:pPr>
            <w:r>
              <w:rPr>
                <w:rFonts w:hint="eastAsia" w:asciiTheme="majorEastAsia" w:hAnsiTheme="majorEastAsia" w:eastAsiaTheme="majorEastAsia"/>
                <w:sz w:val="24"/>
                <w:szCs w:val="24"/>
                <w:lang w:val="en-US" w:eastAsia="zh-CN"/>
              </w:rPr>
              <w:t>OK</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9" w:type="dxa"/>
          </w:tcPr>
          <w:p>
            <w:pPr>
              <w:spacing w:line="280" w:lineRule="exact"/>
              <w:rPr>
                <w:rFonts w:cs="宋体" w:asciiTheme="minorEastAsia" w:hAnsiTheme="minorEastAsia" w:eastAsiaTheme="minorEastAsia"/>
                <w:szCs w:val="21"/>
              </w:rPr>
            </w:pPr>
          </w:p>
          <w:p>
            <w:pPr>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不符合/事件和纠正措施。</w:t>
            </w:r>
          </w:p>
        </w:tc>
        <w:tc>
          <w:tcPr>
            <w:tcW w:w="1318" w:type="dxa"/>
          </w:tcPr>
          <w:p>
            <w:pPr>
              <w:tabs>
                <w:tab w:val="left" w:pos="6597"/>
              </w:tabs>
              <w:spacing w:line="280" w:lineRule="exact"/>
              <w:rPr>
                <w:rFonts w:cs="宋体" w:asciiTheme="minorEastAsia" w:hAnsiTheme="minorEastAsia" w:eastAsiaTheme="minorEastAsia"/>
                <w:szCs w:val="21"/>
              </w:rPr>
            </w:pPr>
          </w:p>
          <w:p>
            <w:pPr>
              <w:tabs>
                <w:tab w:val="left" w:pos="6597"/>
              </w:tabs>
              <w:spacing w:line="280" w:lineRule="exact"/>
              <w:rPr>
                <w:rFonts w:cs="宋体" w:asciiTheme="minorEastAsia" w:hAnsiTheme="minorEastAsia" w:eastAsiaTheme="minorEastAsia"/>
                <w:szCs w:val="21"/>
              </w:rPr>
            </w:pPr>
            <w:r>
              <w:rPr>
                <w:rFonts w:hint="eastAsia" w:cs="宋体" w:asciiTheme="minorEastAsia" w:hAnsiTheme="minorEastAsia" w:eastAsiaTheme="minorEastAsia"/>
                <w:szCs w:val="21"/>
              </w:rPr>
              <w:t>QEO</w:t>
            </w:r>
            <w:r>
              <w:rPr>
                <w:rFonts w:cs="宋体" w:asciiTheme="minorEastAsia" w:hAnsiTheme="minorEastAsia" w:eastAsiaTheme="minorEastAsia"/>
                <w:szCs w:val="21"/>
              </w:rPr>
              <w:t xml:space="preserve"> </w:t>
            </w:r>
            <w:r>
              <w:rPr>
                <w:rFonts w:hint="eastAsia" w:cs="宋体" w:asciiTheme="minorEastAsia" w:hAnsiTheme="minorEastAsia" w:eastAsiaTheme="minorEastAsia"/>
                <w:szCs w:val="21"/>
              </w:rPr>
              <w:t>10.2</w:t>
            </w:r>
          </w:p>
        </w:tc>
        <w:tc>
          <w:tcPr>
            <w:tcW w:w="10056" w:type="dxa"/>
            <w:vAlign w:val="center"/>
          </w:tcPr>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综合部制定并组织实施《内部审核控制程序》（</w:t>
            </w:r>
            <w:r>
              <w:rPr>
                <w:rFonts w:cs="宋体" w:asciiTheme="minorEastAsia" w:hAnsiTheme="minorEastAsia" w:eastAsiaTheme="minorEastAsia"/>
                <w:szCs w:val="21"/>
              </w:rPr>
              <w:t>XSL-QESP</w:t>
            </w:r>
            <w:r>
              <w:rPr>
                <w:rFonts w:asciiTheme="minorEastAsia" w:hAnsiTheme="minorEastAsia" w:eastAsiaTheme="minorEastAsia"/>
                <w:szCs w:val="21"/>
              </w:rPr>
              <w:t>-</w:t>
            </w:r>
            <w:r>
              <w:rPr>
                <w:rFonts w:hint="eastAsia" w:asciiTheme="minorEastAsia" w:hAnsiTheme="minorEastAsia" w:eastAsiaTheme="minorEastAsia"/>
                <w:szCs w:val="21"/>
              </w:rPr>
              <w:t>2</w:t>
            </w:r>
            <w:r>
              <w:rPr>
                <w:rFonts w:asciiTheme="minorEastAsia" w:hAnsiTheme="minorEastAsia" w:eastAsiaTheme="minorEastAsia"/>
                <w:szCs w:val="21"/>
              </w:rPr>
              <w:t>4</w:t>
            </w:r>
            <w:r>
              <w:rPr>
                <w:rFonts w:hint="eastAsia" w:cs="宋体" w:asciiTheme="minorEastAsia" w:hAnsiTheme="minorEastAsia" w:eastAsiaTheme="minorEastAsia"/>
                <w:szCs w:val="21"/>
              </w:rPr>
              <w:t>）。</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综合部负责人林森泉介绍：组织在运行过程中对发现的不符合都会采取纠正措施，分析原因，举一反三地看待其他部门或类似过程，采取预防措施以防止发生不合格或不符合。</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如：公司本年度内审时的</w:t>
            </w:r>
            <w:r>
              <w:rPr>
                <w:rFonts w:cs="宋体" w:asciiTheme="minorEastAsia" w:hAnsiTheme="minorEastAsia" w:eastAsiaTheme="minorEastAsia"/>
                <w:szCs w:val="21"/>
              </w:rPr>
              <w:t>2</w:t>
            </w:r>
            <w:r>
              <w:rPr>
                <w:rFonts w:hint="eastAsia" w:cs="宋体" w:asciiTheme="minorEastAsia" w:hAnsiTheme="minorEastAsia" w:eastAsiaTheme="minorEastAsia"/>
                <w:szCs w:val="21"/>
              </w:rPr>
              <w:t>个不符合项均有原因分析、纠正措施和验证均能满足改进要求。</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查阅</w:t>
            </w:r>
            <w:r>
              <w:rPr>
                <w:rFonts w:cs="宋体" w:asciiTheme="minorEastAsia" w:hAnsiTheme="minorEastAsia" w:eastAsiaTheme="minorEastAsia"/>
                <w:szCs w:val="21"/>
              </w:rPr>
              <w:t>2</w:t>
            </w:r>
            <w:r>
              <w:rPr>
                <w:rFonts w:hint="eastAsia" w:cs="宋体" w:asciiTheme="minorEastAsia" w:hAnsiTheme="minorEastAsia" w:eastAsiaTheme="minorEastAsia"/>
                <w:szCs w:val="21"/>
              </w:rPr>
              <w:t>个不符合项的《实施纠正措施记录》：</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第1个不符合的原因分析为：相关人员质量、环境、安全意识不强，没有认真对待和理解管理方针、目标，需要加强培训。措施为：对相关人员予以口头批评教育和再培训。</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第2个不符合的原因分析为：相关人员环境意识不强，未对综合部现场设置垃圾分类的回收装置。措施为：对相关人员予以口头批评教育和再培训。</w:t>
            </w:r>
          </w:p>
          <w:p>
            <w:pPr>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上述措施针对了问题原因，并对措施的实施进行了验证。</w:t>
            </w:r>
          </w:p>
          <w:p>
            <w:pPr>
              <w:ind w:firstLine="420" w:firstLineChars="200"/>
              <w:rPr>
                <w:rFonts w:hint="eastAsia" w:cs="宋体" w:asciiTheme="minorEastAsia" w:hAnsiTheme="minorEastAsia" w:eastAsiaTheme="minorEastAsia"/>
                <w:szCs w:val="21"/>
              </w:rPr>
            </w:pPr>
          </w:p>
        </w:tc>
        <w:tc>
          <w:tcPr>
            <w:tcW w:w="1593" w:type="dxa"/>
          </w:tcPr>
          <w:p>
            <w:pPr>
              <w:spacing w:line="360" w:lineRule="auto"/>
              <w:jc w:val="center"/>
              <w:rPr>
                <w:rFonts w:hint="eastAsia" w:asciiTheme="majorEastAsia" w:hAnsiTheme="majorEastAsia" w:eastAsiaTheme="majorEastAsia"/>
                <w:sz w:val="24"/>
                <w:szCs w:val="24"/>
                <w:lang w:val="en-US" w:eastAsia="zh-CN"/>
              </w:rPr>
            </w:pPr>
            <w:r>
              <w:rPr>
                <w:rFonts w:hint="eastAsia" w:asciiTheme="majorEastAsia" w:hAnsiTheme="majorEastAsia" w:eastAsiaTheme="majorEastAsia"/>
                <w:sz w:val="24"/>
                <w:szCs w:val="24"/>
                <w:lang w:val="en-US" w:eastAsia="zh-CN"/>
              </w:rPr>
              <w:t>OK</w:t>
            </w:r>
          </w:p>
        </w:tc>
      </w:tr>
    </w:tbl>
    <w:p>
      <w:pPr>
        <w:pStyle w:val="8"/>
        <w:spacing w:before="156" w:beforeLines="50"/>
        <w:ind w:firstLine="200" w:firstLineChars="100"/>
        <w:rPr>
          <w:rFonts w:asciiTheme="minorEastAsia" w:hAnsiTheme="minorEastAsia" w:eastAsiaTheme="minorEastAsia"/>
          <w:sz w:val="20"/>
          <w:szCs w:val="20"/>
        </w:rPr>
      </w:pPr>
      <w:r>
        <w:rPr>
          <w:rFonts w:hint="eastAsia" w:asciiTheme="minorEastAsia" w:hAnsiTheme="minorEastAsia" w:eastAsiaTheme="minorEastAsia"/>
          <w:sz w:val="20"/>
          <w:szCs w:val="20"/>
        </w:rPr>
        <w:t>说明：不符合标注N。</w:t>
      </w:r>
    </w:p>
    <w:p>
      <w:pPr>
        <w:pStyle w:val="8"/>
        <w:spacing w:before="156" w:beforeLines="50"/>
        <w:ind w:firstLine="200" w:firstLineChars="100"/>
        <w:rPr>
          <w:rFonts w:asciiTheme="minorEastAsia" w:hAnsiTheme="minorEastAsia" w:eastAsiaTheme="minorEastAsia"/>
          <w:sz w:val="20"/>
          <w:szCs w:val="20"/>
        </w:rPr>
      </w:pPr>
    </w:p>
    <w:sectPr>
      <w:headerReference r:id="rId3" w:type="default"/>
      <w:footerReference r:id="rId4" w:type="default"/>
      <w:pgSz w:w="16838" w:h="11906" w:orient="landscape"/>
      <w:pgMar w:top="1701" w:right="1134" w:bottom="1418" w:left="1134" w:header="907" w:footer="102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EndPr>
      <w:rPr>
        <w:rFonts w:asciiTheme="minorEastAsia" w:hAnsiTheme="minorEastAsia" w:eastAsiaTheme="minorEastAsia"/>
        <w:sz w:val="21"/>
        <w:szCs w:val="21"/>
      </w:rPr>
    </w:sdtEndPr>
    <w:sdtContent>
      <w:sdt>
        <w:sdtPr>
          <w:id w:val="171357217"/>
        </w:sdtPr>
        <w:sdtEndPr>
          <w:rPr>
            <w:rFonts w:asciiTheme="minorEastAsia" w:hAnsiTheme="minorEastAsia" w:eastAsiaTheme="minorEastAsia"/>
            <w:sz w:val="21"/>
            <w:szCs w:val="21"/>
          </w:rPr>
        </w:sdtEndPr>
        <w:sdtContent>
          <w:p>
            <w:pPr>
              <w:pStyle w:val="8"/>
              <w:jc w:val="center"/>
              <w:rPr>
                <w:rFonts w:asciiTheme="minorEastAsia" w:hAnsiTheme="minorEastAsia" w:eastAsiaTheme="minorEastAsia"/>
                <w:sz w:val="21"/>
                <w:szCs w:val="21"/>
              </w:rPr>
            </w:pPr>
            <w:r>
              <w:rPr>
                <w:rFonts w:asciiTheme="minorEastAsia" w:hAnsiTheme="minorEastAsia" w:eastAsiaTheme="minorEastAsia"/>
                <w:sz w:val="21"/>
                <w:szCs w:val="21"/>
                <w:lang w:val="zh-CN"/>
              </w:rPr>
              <w:t xml:space="preserve">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PAGE</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3</w:t>
            </w:r>
            <w:r>
              <w:rPr>
                <w:rFonts w:asciiTheme="minorEastAsia" w:hAnsiTheme="minorEastAsia" w:eastAsiaTheme="minorEastAsia"/>
                <w:b/>
                <w:sz w:val="21"/>
                <w:szCs w:val="21"/>
              </w:rPr>
              <w:fldChar w:fldCharType="end"/>
            </w:r>
            <w:r>
              <w:rPr>
                <w:rFonts w:asciiTheme="minorEastAsia" w:hAnsiTheme="minorEastAsia" w:eastAsiaTheme="minorEastAsia"/>
                <w:sz w:val="21"/>
                <w:szCs w:val="21"/>
                <w:lang w:val="zh-CN"/>
              </w:rPr>
              <w:t xml:space="preserve"> /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NUMPAGES</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9</w:t>
            </w:r>
            <w:r>
              <w:rPr>
                <w:rFonts w:asciiTheme="minorEastAsia" w:hAnsiTheme="minorEastAsia" w:eastAsiaTheme="minorEastAsia"/>
                <w:b/>
                <w:sz w:val="21"/>
                <w:szCs w:val="21"/>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50" w:firstLineChars="450"/>
      <w:jc w:val="left"/>
      <w:rPr>
        <w:rStyle w:val="16"/>
        <w:rFonts w:hint="default"/>
      </w:rPr>
    </w:pPr>
    <w:r>
      <w:rPr>
        <w:rStyle w:val="16"/>
        <w:rFonts w:hint="default"/>
        <w:w w:val="90"/>
      </w:rPr>
      <w:t xml:space="preserve">                   </w:t>
    </w: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1027" o:spid="_x0000_s1027" o:spt="202" type="#_x0000_t202" style="position:absolute;left:0pt;margin-left:620.4pt;margin-top:12.55pt;height:20.2pt;width:102.7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p>
  <w:p>
    <w:pPr>
      <w:pStyle w:val="9"/>
      <w:pBdr>
        <w:bottom w:val="none" w:color="auto" w:sz="0" w:space="0"/>
      </w:pBdr>
      <w:spacing w:line="320" w:lineRule="exact"/>
      <w:ind w:firstLine="756" w:firstLineChars="400"/>
      <w:jc w:val="left"/>
    </w:pPr>
    <w:r>
      <w:rPr>
        <w:rStyle w:val="16"/>
        <w:rFonts w:hint="default"/>
        <w:w w:val="90"/>
      </w:rPr>
      <w:t>Beijing International Standard united Certification Co.,Ltd.</w:t>
    </w: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9973B4"/>
    <w:rsid w:val="00000ED2"/>
    <w:rsid w:val="0000123C"/>
    <w:rsid w:val="000038DC"/>
    <w:rsid w:val="00004817"/>
    <w:rsid w:val="00012E65"/>
    <w:rsid w:val="000146B2"/>
    <w:rsid w:val="00014A12"/>
    <w:rsid w:val="00015792"/>
    <w:rsid w:val="000214B6"/>
    <w:rsid w:val="00023080"/>
    <w:rsid w:val="000242A4"/>
    <w:rsid w:val="0002531E"/>
    <w:rsid w:val="000277D0"/>
    <w:rsid w:val="0003138C"/>
    <w:rsid w:val="00032100"/>
    <w:rsid w:val="0003373A"/>
    <w:rsid w:val="00035FB9"/>
    <w:rsid w:val="0003792F"/>
    <w:rsid w:val="00037ED3"/>
    <w:rsid w:val="000412F6"/>
    <w:rsid w:val="00042E2F"/>
    <w:rsid w:val="00044945"/>
    <w:rsid w:val="00045092"/>
    <w:rsid w:val="00047FFE"/>
    <w:rsid w:val="0005199E"/>
    <w:rsid w:val="00052580"/>
    <w:rsid w:val="00055D99"/>
    <w:rsid w:val="0005697E"/>
    <w:rsid w:val="000575FF"/>
    <w:rsid w:val="000579CF"/>
    <w:rsid w:val="00060270"/>
    <w:rsid w:val="000605A7"/>
    <w:rsid w:val="00061EE8"/>
    <w:rsid w:val="00061F6E"/>
    <w:rsid w:val="000628FA"/>
    <w:rsid w:val="000629CE"/>
    <w:rsid w:val="000670DD"/>
    <w:rsid w:val="00067B39"/>
    <w:rsid w:val="00073F1C"/>
    <w:rsid w:val="000811D9"/>
    <w:rsid w:val="00081CD2"/>
    <w:rsid w:val="000821FC"/>
    <w:rsid w:val="00082216"/>
    <w:rsid w:val="00082398"/>
    <w:rsid w:val="00083343"/>
    <w:rsid w:val="000849D2"/>
    <w:rsid w:val="00084DAD"/>
    <w:rsid w:val="000870FB"/>
    <w:rsid w:val="00087401"/>
    <w:rsid w:val="00092F91"/>
    <w:rsid w:val="00094791"/>
    <w:rsid w:val="000A067A"/>
    <w:rsid w:val="000A30F9"/>
    <w:rsid w:val="000A5E44"/>
    <w:rsid w:val="000A6940"/>
    <w:rsid w:val="000A6B86"/>
    <w:rsid w:val="000B1394"/>
    <w:rsid w:val="000B1838"/>
    <w:rsid w:val="000B2640"/>
    <w:rsid w:val="000B40BD"/>
    <w:rsid w:val="000B6EAD"/>
    <w:rsid w:val="000C0639"/>
    <w:rsid w:val="000C123B"/>
    <w:rsid w:val="000C25C3"/>
    <w:rsid w:val="000C2D5B"/>
    <w:rsid w:val="000D4245"/>
    <w:rsid w:val="000D4F09"/>
    <w:rsid w:val="000D5401"/>
    <w:rsid w:val="000D697A"/>
    <w:rsid w:val="000D6C51"/>
    <w:rsid w:val="000D763A"/>
    <w:rsid w:val="000E2B69"/>
    <w:rsid w:val="000E2C6E"/>
    <w:rsid w:val="000E355F"/>
    <w:rsid w:val="000E4402"/>
    <w:rsid w:val="000E4767"/>
    <w:rsid w:val="000E721A"/>
    <w:rsid w:val="000E7EF7"/>
    <w:rsid w:val="000F0C3E"/>
    <w:rsid w:val="000F2BA9"/>
    <w:rsid w:val="000F35F1"/>
    <w:rsid w:val="000F38E4"/>
    <w:rsid w:val="000F757F"/>
    <w:rsid w:val="000F7D53"/>
    <w:rsid w:val="001022F1"/>
    <w:rsid w:val="00103234"/>
    <w:rsid w:val="001037D5"/>
    <w:rsid w:val="00106F20"/>
    <w:rsid w:val="0010726B"/>
    <w:rsid w:val="001076D1"/>
    <w:rsid w:val="00112CA9"/>
    <w:rsid w:val="0011516C"/>
    <w:rsid w:val="00123A35"/>
    <w:rsid w:val="00124A78"/>
    <w:rsid w:val="00124C1B"/>
    <w:rsid w:val="00130587"/>
    <w:rsid w:val="00132572"/>
    <w:rsid w:val="00133E48"/>
    <w:rsid w:val="00135F92"/>
    <w:rsid w:val="0013745B"/>
    <w:rsid w:val="001424E5"/>
    <w:rsid w:val="00143035"/>
    <w:rsid w:val="00144917"/>
    <w:rsid w:val="00145688"/>
    <w:rsid w:val="001456CB"/>
    <w:rsid w:val="001462CD"/>
    <w:rsid w:val="00147EDB"/>
    <w:rsid w:val="00150609"/>
    <w:rsid w:val="00152DB7"/>
    <w:rsid w:val="00155234"/>
    <w:rsid w:val="001564F9"/>
    <w:rsid w:val="00157722"/>
    <w:rsid w:val="001662A1"/>
    <w:rsid w:val="00166D3F"/>
    <w:rsid w:val="001677C1"/>
    <w:rsid w:val="00170B6A"/>
    <w:rsid w:val="0017204F"/>
    <w:rsid w:val="00176572"/>
    <w:rsid w:val="00176B5D"/>
    <w:rsid w:val="00181F3C"/>
    <w:rsid w:val="00182FDD"/>
    <w:rsid w:val="001833DD"/>
    <w:rsid w:val="00183631"/>
    <w:rsid w:val="00186A4E"/>
    <w:rsid w:val="00187059"/>
    <w:rsid w:val="00187C5A"/>
    <w:rsid w:val="001918ED"/>
    <w:rsid w:val="00192A7F"/>
    <w:rsid w:val="001940FC"/>
    <w:rsid w:val="00194D96"/>
    <w:rsid w:val="001972C0"/>
    <w:rsid w:val="001A189B"/>
    <w:rsid w:val="001A2D7F"/>
    <w:rsid w:val="001A3DF8"/>
    <w:rsid w:val="001A572D"/>
    <w:rsid w:val="001A6166"/>
    <w:rsid w:val="001A7197"/>
    <w:rsid w:val="001B324E"/>
    <w:rsid w:val="001B36F4"/>
    <w:rsid w:val="001B5EC9"/>
    <w:rsid w:val="001B6887"/>
    <w:rsid w:val="001B6E5E"/>
    <w:rsid w:val="001B700E"/>
    <w:rsid w:val="001C0776"/>
    <w:rsid w:val="001C2BC9"/>
    <w:rsid w:val="001C34EA"/>
    <w:rsid w:val="001C39CB"/>
    <w:rsid w:val="001D1D7C"/>
    <w:rsid w:val="001D311E"/>
    <w:rsid w:val="001D4AD8"/>
    <w:rsid w:val="001D54FF"/>
    <w:rsid w:val="001D5787"/>
    <w:rsid w:val="001E03CF"/>
    <w:rsid w:val="001E163B"/>
    <w:rsid w:val="001E1974"/>
    <w:rsid w:val="001E312D"/>
    <w:rsid w:val="001E350D"/>
    <w:rsid w:val="001E72C1"/>
    <w:rsid w:val="001F2D6A"/>
    <w:rsid w:val="001F2F45"/>
    <w:rsid w:val="001F35DE"/>
    <w:rsid w:val="001F4890"/>
    <w:rsid w:val="001F71E8"/>
    <w:rsid w:val="00202097"/>
    <w:rsid w:val="00202594"/>
    <w:rsid w:val="00202BC2"/>
    <w:rsid w:val="00214113"/>
    <w:rsid w:val="00214D61"/>
    <w:rsid w:val="00215081"/>
    <w:rsid w:val="0022048B"/>
    <w:rsid w:val="00222532"/>
    <w:rsid w:val="002244CE"/>
    <w:rsid w:val="002247B6"/>
    <w:rsid w:val="00231F3C"/>
    <w:rsid w:val="00235A5D"/>
    <w:rsid w:val="00235ED5"/>
    <w:rsid w:val="002366B7"/>
    <w:rsid w:val="00237445"/>
    <w:rsid w:val="002417B3"/>
    <w:rsid w:val="00245047"/>
    <w:rsid w:val="00245CB6"/>
    <w:rsid w:val="00253CBF"/>
    <w:rsid w:val="002612B5"/>
    <w:rsid w:val="00262AFE"/>
    <w:rsid w:val="00262DC0"/>
    <w:rsid w:val="002651A6"/>
    <w:rsid w:val="00267A82"/>
    <w:rsid w:val="002715B5"/>
    <w:rsid w:val="002760CB"/>
    <w:rsid w:val="0027659A"/>
    <w:rsid w:val="002769EB"/>
    <w:rsid w:val="0028195E"/>
    <w:rsid w:val="00282AB8"/>
    <w:rsid w:val="002918D0"/>
    <w:rsid w:val="00293B8F"/>
    <w:rsid w:val="00293C8B"/>
    <w:rsid w:val="0029464B"/>
    <w:rsid w:val="002973F0"/>
    <w:rsid w:val="002975C1"/>
    <w:rsid w:val="002A0E6E"/>
    <w:rsid w:val="002A2916"/>
    <w:rsid w:val="002A33CC"/>
    <w:rsid w:val="002A4A4F"/>
    <w:rsid w:val="002A5E69"/>
    <w:rsid w:val="002A62D8"/>
    <w:rsid w:val="002B14F1"/>
    <w:rsid w:val="002B1808"/>
    <w:rsid w:val="002C1ACE"/>
    <w:rsid w:val="002C3E0D"/>
    <w:rsid w:val="002C60B0"/>
    <w:rsid w:val="002D41FB"/>
    <w:rsid w:val="002E0587"/>
    <w:rsid w:val="002E1E1D"/>
    <w:rsid w:val="002E6020"/>
    <w:rsid w:val="002E72F8"/>
    <w:rsid w:val="002F030C"/>
    <w:rsid w:val="002F1DCE"/>
    <w:rsid w:val="002F4435"/>
    <w:rsid w:val="002F58F7"/>
    <w:rsid w:val="003006E2"/>
    <w:rsid w:val="003037C2"/>
    <w:rsid w:val="003120F5"/>
    <w:rsid w:val="00317077"/>
    <w:rsid w:val="00317401"/>
    <w:rsid w:val="00317FAF"/>
    <w:rsid w:val="0032112D"/>
    <w:rsid w:val="00321658"/>
    <w:rsid w:val="003237C8"/>
    <w:rsid w:val="00323E21"/>
    <w:rsid w:val="003240D3"/>
    <w:rsid w:val="00326FC1"/>
    <w:rsid w:val="00330A48"/>
    <w:rsid w:val="00330DBC"/>
    <w:rsid w:val="00337922"/>
    <w:rsid w:val="0034001B"/>
    <w:rsid w:val="00340867"/>
    <w:rsid w:val="00342857"/>
    <w:rsid w:val="00346A88"/>
    <w:rsid w:val="00350CBB"/>
    <w:rsid w:val="00351CD4"/>
    <w:rsid w:val="003569F0"/>
    <w:rsid w:val="00356B2C"/>
    <w:rsid w:val="003608CB"/>
    <w:rsid w:val="00360D60"/>
    <w:rsid w:val="003627B6"/>
    <w:rsid w:val="00365295"/>
    <w:rsid w:val="003675FE"/>
    <w:rsid w:val="0037076F"/>
    <w:rsid w:val="003708D5"/>
    <w:rsid w:val="003727CD"/>
    <w:rsid w:val="0037587D"/>
    <w:rsid w:val="0038061A"/>
    <w:rsid w:val="0038063B"/>
    <w:rsid w:val="00380837"/>
    <w:rsid w:val="00382EDD"/>
    <w:rsid w:val="003836CA"/>
    <w:rsid w:val="00385A8F"/>
    <w:rsid w:val="00386A98"/>
    <w:rsid w:val="00392D5A"/>
    <w:rsid w:val="00394146"/>
    <w:rsid w:val="003947A2"/>
    <w:rsid w:val="00395630"/>
    <w:rsid w:val="003A1E9C"/>
    <w:rsid w:val="003A38E1"/>
    <w:rsid w:val="003A422E"/>
    <w:rsid w:val="003A53EE"/>
    <w:rsid w:val="003A56A9"/>
    <w:rsid w:val="003A57BB"/>
    <w:rsid w:val="003A62C3"/>
    <w:rsid w:val="003A63EA"/>
    <w:rsid w:val="003A66F6"/>
    <w:rsid w:val="003B0424"/>
    <w:rsid w:val="003B0E41"/>
    <w:rsid w:val="003B1EE5"/>
    <w:rsid w:val="003B4E12"/>
    <w:rsid w:val="003B63F4"/>
    <w:rsid w:val="003B686D"/>
    <w:rsid w:val="003B6EB8"/>
    <w:rsid w:val="003C16DD"/>
    <w:rsid w:val="003D1723"/>
    <w:rsid w:val="003D3376"/>
    <w:rsid w:val="003D470D"/>
    <w:rsid w:val="003D56CA"/>
    <w:rsid w:val="003D6828"/>
    <w:rsid w:val="003D6BE3"/>
    <w:rsid w:val="003E0E52"/>
    <w:rsid w:val="003E1379"/>
    <w:rsid w:val="003E2BA3"/>
    <w:rsid w:val="003E2C93"/>
    <w:rsid w:val="003E7D0D"/>
    <w:rsid w:val="003F20A5"/>
    <w:rsid w:val="003F36AE"/>
    <w:rsid w:val="003F57F4"/>
    <w:rsid w:val="003F6D4B"/>
    <w:rsid w:val="00400B96"/>
    <w:rsid w:val="004016BA"/>
    <w:rsid w:val="00401C89"/>
    <w:rsid w:val="00405AA6"/>
    <w:rsid w:val="00405D57"/>
    <w:rsid w:val="00405D5F"/>
    <w:rsid w:val="00410914"/>
    <w:rsid w:val="00415AA3"/>
    <w:rsid w:val="00415C37"/>
    <w:rsid w:val="00417B7B"/>
    <w:rsid w:val="00420650"/>
    <w:rsid w:val="00420C60"/>
    <w:rsid w:val="00423C08"/>
    <w:rsid w:val="004254A5"/>
    <w:rsid w:val="0043032D"/>
    <w:rsid w:val="00430432"/>
    <w:rsid w:val="00433759"/>
    <w:rsid w:val="0043494E"/>
    <w:rsid w:val="00435641"/>
    <w:rsid w:val="00435E64"/>
    <w:rsid w:val="00436510"/>
    <w:rsid w:val="00440BBC"/>
    <w:rsid w:val="004414A5"/>
    <w:rsid w:val="00441B50"/>
    <w:rsid w:val="004428CE"/>
    <w:rsid w:val="0044797E"/>
    <w:rsid w:val="00451142"/>
    <w:rsid w:val="0045307F"/>
    <w:rsid w:val="00454BE9"/>
    <w:rsid w:val="00456697"/>
    <w:rsid w:val="00463AD4"/>
    <w:rsid w:val="00463D9F"/>
    <w:rsid w:val="00463F22"/>
    <w:rsid w:val="00465FE1"/>
    <w:rsid w:val="0047169C"/>
    <w:rsid w:val="00472CA2"/>
    <w:rsid w:val="00475491"/>
    <w:rsid w:val="004757D9"/>
    <w:rsid w:val="00484A0E"/>
    <w:rsid w:val="004869FB"/>
    <w:rsid w:val="00487864"/>
    <w:rsid w:val="00491340"/>
    <w:rsid w:val="00491735"/>
    <w:rsid w:val="00494A46"/>
    <w:rsid w:val="0049505E"/>
    <w:rsid w:val="004A00CC"/>
    <w:rsid w:val="004A1070"/>
    <w:rsid w:val="004A2ABC"/>
    <w:rsid w:val="004A3578"/>
    <w:rsid w:val="004A4AF8"/>
    <w:rsid w:val="004A4B90"/>
    <w:rsid w:val="004A4BC7"/>
    <w:rsid w:val="004A57F4"/>
    <w:rsid w:val="004A5E31"/>
    <w:rsid w:val="004A7106"/>
    <w:rsid w:val="004B217F"/>
    <w:rsid w:val="004B3E7F"/>
    <w:rsid w:val="004B408D"/>
    <w:rsid w:val="004B5AC8"/>
    <w:rsid w:val="004B604C"/>
    <w:rsid w:val="004C07FE"/>
    <w:rsid w:val="004C3A73"/>
    <w:rsid w:val="004C5731"/>
    <w:rsid w:val="004C5BFE"/>
    <w:rsid w:val="004C78A9"/>
    <w:rsid w:val="004C7A42"/>
    <w:rsid w:val="004D0464"/>
    <w:rsid w:val="004D2265"/>
    <w:rsid w:val="004D3E4C"/>
    <w:rsid w:val="004D55E7"/>
    <w:rsid w:val="004D62EF"/>
    <w:rsid w:val="004D631F"/>
    <w:rsid w:val="004E15B9"/>
    <w:rsid w:val="004E5609"/>
    <w:rsid w:val="004E61BC"/>
    <w:rsid w:val="004F185D"/>
    <w:rsid w:val="004F3000"/>
    <w:rsid w:val="004F4494"/>
    <w:rsid w:val="00500159"/>
    <w:rsid w:val="005028A7"/>
    <w:rsid w:val="005052B3"/>
    <w:rsid w:val="005056ED"/>
    <w:rsid w:val="00505819"/>
    <w:rsid w:val="005064D2"/>
    <w:rsid w:val="00513B4A"/>
    <w:rsid w:val="00515C94"/>
    <w:rsid w:val="00517E4C"/>
    <w:rsid w:val="005203B2"/>
    <w:rsid w:val="00521BB1"/>
    <w:rsid w:val="00521CF0"/>
    <w:rsid w:val="0052238D"/>
    <w:rsid w:val="00527341"/>
    <w:rsid w:val="00531857"/>
    <w:rsid w:val="0053208B"/>
    <w:rsid w:val="00533A85"/>
    <w:rsid w:val="005345E9"/>
    <w:rsid w:val="00534814"/>
    <w:rsid w:val="00535403"/>
    <w:rsid w:val="00536930"/>
    <w:rsid w:val="00541AE2"/>
    <w:rsid w:val="00541AF7"/>
    <w:rsid w:val="00544CA6"/>
    <w:rsid w:val="00546D5F"/>
    <w:rsid w:val="00547B16"/>
    <w:rsid w:val="00552BDE"/>
    <w:rsid w:val="005571F6"/>
    <w:rsid w:val="00560A2A"/>
    <w:rsid w:val="00564145"/>
    <w:rsid w:val="00564D4C"/>
    <w:rsid w:val="00564E53"/>
    <w:rsid w:val="00571038"/>
    <w:rsid w:val="00571FB2"/>
    <w:rsid w:val="00576C70"/>
    <w:rsid w:val="00577BF8"/>
    <w:rsid w:val="00580D32"/>
    <w:rsid w:val="00583277"/>
    <w:rsid w:val="0058509F"/>
    <w:rsid w:val="005902B9"/>
    <w:rsid w:val="00592C3E"/>
    <w:rsid w:val="00597617"/>
    <w:rsid w:val="005A000F"/>
    <w:rsid w:val="005A024A"/>
    <w:rsid w:val="005A1F3C"/>
    <w:rsid w:val="005A37FF"/>
    <w:rsid w:val="005A5A65"/>
    <w:rsid w:val="005B173D"/>
    <w:rsid w:val="005B17B6"/>
    <w:rsid w:val="005B6888"/>
    <w:rsid w:val="005C621D"/>
    <w:rsid w:val="005D0876"/>
    <w:rsid w:val="005D12C1"/>
    <w:rsid w:val="005D1D88"/>
    <w:rsid w:val="005D22C5"/>
    <w:rsid w:val="005D638F"/>
    <w:rsid w:val="005D6A00"/>
    <w:rsid w:val="005D6B2D"/>
    <w:rsid w:val="005F4B58"/>
    <w:rsid w:val="005F6C65"/>
    <w:rsid w:val="00600F02"/>
    <w:rsid w:val="0060122C"/>
    <w:rsid w:val="00601460"/>
    <w:rsid w:val="006014D4"/>
    <w:rsid w:val="006028A0"/>
    <w:rsid w:val="0060444D"/>
    <w:rsid w:val="006061F0"/>
    <w:rsid w:val="006078B1"/>
    <w:rsid w:val="0061191A"/>
    <w:rsid w:val="00615E1C"/>
    <w:rsid w:val="00623037"/>
    <w:rsid w:val="00624222"/>
    <w:rsid w:val="0063647F"/>
    <w:rsid w:val="0064245F"/>
    <w:rsid w:val="00642776"/>
    <w:rsid w:val="00642D31"/>
    <w:rsid w:val="00644FE2"/>
    <w:rsid w:val="00645E5C"/>
    <w:rsid w:val="00645FB8"/>
    <w:rsid w:val="00650027"/>
    <w:rsid w:val="00651986"/>
    <w:rsid w:val="00652F53"/>
    <w:rsid w:val="00653844"/>
    <w:rsid w:val="006545E8"/>
    <w:rsid w:val="006548C1"/>
    <w:rsid w:val="00660E81"/>
    <w:rsid w:val="00664736"/>
    <w:rsid w:val="00664F3E"/>
    <w:rsid w:val="0066550D"/>
    <w:rsid w:val="00665980"/>
    <w:rsid w:val="006711B0"/>
    <w:rsid w:val="00671EF1"/>
    <w:rsid w:val="00674244"/>
    <w:rsid w:val="00674505"/>
    <w:rsid w:val="0067640C"/>
    <w:rsid w:val="006836D9"/>
    <w:rsid w:val="0068548D"/>
    <w:rsid w:val="00686C6C"/>
    <w:rsid w:val="00691265"/>
    <w:rsid w:val="006924A0"/>
    <w:rsid w:val="006946B4"/>
    <w:rsid w:val="00695256"/>
    <w:rsid w:val="00695570"/>
    <w:rsid w:val="006958B3"/>
    <w:rsid w:val="006969F1"/>
    <w:rsid w:val="00696AF1"/>
    <w:rsid w:val="006976FD"/>
    <w:rsid w:val="006A14D3"/>
    <w:rsid w:val="006A3B31"/>
    <w:rsid w:val="006A68F3"/>
    <w:rsid w:val="006B0113"/>
    <w:rsid w:val="006B0194"/>
    <w:rsid w:val="006B027B"/>
    <w:rsid w:val="006B2C63"/>
    <w:rsid w:val="006B2E9A"/>
    <w:rsid w:val="006B39AA"/>
    <w:rsid w:val="006B4127"/>
    <w:rsid w:val="006B4B8D"/>
    <w:rsid w:val="006B4F28"/>
    <w:rsid w:val="006C164D"/>
    <w:rsid w:val="006C1B56"/>
    <w:rsid w:val="006C24BF"/>
    <w:rsid w:val="006C3105"/>
    <w:rsid w:val="006C40B9"/>
    <w:rsid w:val="006D17E0"/>
    <w:rsid w:val="006D1BC5"/>
    <w:rsid w:val="006D4DF7"/>
    <w:rsid w:val="006D571D"/>
    <w:rsid w:val="006E0781"/>
    <w:rsid w:val="006E0A80"/>
    <w:rsid w:val="006E1168"/>
    <w:rsid w:val="006E3438"/>
    <w:rsid w:val="006E4893"/>
    <w:rsid w:val="006E678B"/>
    <w:rsid w:val="006E762B"/>
    <w:rsid w:val="006F05E9"/>
    <w:rsid w:val="006F107D"/>
    <w:rsid w:val="006F13F5"/>
    <w:rsid w:val="006F3433"/>
    <w:rsid w:val="006F3B86"/>
    <w:rsid w:val="006F6678"/>
    <w:rsid w:val="0070367F"/>
    <w:rsid w:val="00710655"/>
    <w:rsid w:val="00710688"/>
    <w:rsid w:val="007114EE"/>
    <w:rsid w:val="00712F3C"/>
    <w:rsid w:val="0071645E"/>
    <w:rsid w:val="007170AA"/>
    <w:rsid w:val="007175F5"/>
    <w:rsid w:val="0072638A"/>
    <w:rsid w:val="007264B3"/>
    <w:rsid w:val="00726642"/>
    <w:rsid w:val="00726F88"/>
    <w:rsid w:val="007273A2"/>
    <w:rsid w:val="00727E1B"/>
    <w:rsid w:val="00732B66"/>
    <w:rsid w:val="00734F93"/>
    <w:rsid w:val="007378E4"/>
    <w:rsid w:val="00737C8F"/>
    <w:rsid w:val="007406DE"/>
    <w:rsid w:val="00740E7F"/>
    <w:rsid w:val="007430F8"/>
    <w:rsid w:val="00743E79"/>
    <w:rsid w:val="007447AC"/>
    <w:rsid w:val="00744BEA"/>
    <w:rsid w:val="00751532"/>
    <w:rsid w:val="00751C37"/>
    <w:rsid w:val="007531C2"/>
    <w:rsid w:val="00754C46"/>
    <w:rsid w:val="0075769B"/>
    <w:rsid w:val="00760AE3"/>
    <w:rsid w:val="00760F74"/>
    <w:rsid w:val="007618BC"/>
    <w:rsid w:val="00762915"/>
    <w:rsid w:val="00765D3B"/>
    <w:rsid w:val="00766736"/>
    <w:rsid w:val="007703AA"/>
    <w:rsid w:val="00772340"/>
    <w:rsid w:val="007737BA"/>
    <w:rsid w:val="00775497"/>
    <w:rsid w:val="007757F3"/>
    <w:rsid w:val="007815DC"/>
    <w:rsid w:val="007839F5"/>
    <w:rsid w:val="00784EF4"/>
    <w:rsid w:val="00787C80"/>
    <w:rsid w:val="0079074B"/>
    <w:rsid w:val="00790D5E"/>
    <w:rsid w:val="00790FC6"/>
    <w:rsid w:val="00795468"/>
    <w:rsid w:val="00795FA6"/>
    <w:rsid w:val="007A23ED"/>
    <w:rsid w:val="007A47FB"/>
    <w:rsid w:val="007A6E97"/>
    <w:rsid w:val="007B106B"/>
    <w:rsid w:val="007B275D"/>
    <w:rsid w:val="007B35C5"/>
    <w:rsid w:val="007B5EF5"/>
    <w:rsid w:val="007B668F"/>
    <w:rsid w:val="007C7C8D"/>
    <w:rsid w:val="007D732D"/>
    <w:rsid w:val="007E586D"/>
    <w:rsid w:val="007E6AEB"/>
    <w:rsid w:val="007E6B6E"/>
    <w:rsid w:val="007E7B93"/>
    <w:rsid w:val="007E7C11"/>
    <w:rsid w:val="007F01EC"/>
    <w:rsid w:val="007F3104"/>
    <w:rsid w:val="007F42B2"/>
    <w:rsid w:val="007F5F2D"/>
    <w:rsid w:val="007F6A62"/>
    <w:rsid w:val="007F7DF2"/>
    <w:rsid w:val="008015B9"/>
    <w:rsid w:val="00803706"/>
    <w:rsid w:val="0080433F"/>
    <w:rsid w:val="008079FA"/>
    <w:rsid w:val="00810D58"/>
    <w:rsid w:val="00814A40"/>
    <w:rsid w:val="00815916"/>
    <w:rsid w:val="00815AF5"/>
    <w:rsid w:val="008160E3"/>
    <w:rsid w:val="00817BD2"/>
    <w:rsid w:val="008204E3"/>
    <w:rsid w:val="008343CB"/>
    <w:rsid w:val="00834F70"/>
    <w:rsid w:val="00835B31"/>
    <w:rsid w:val="00843E19"/>
    <w:rsid w:val="00850591"/>
    <w:rsid w:val="0085156E"/>
    <w:rsid w:val="00853CCF"/>
    <w:rsid w:val="00855580"/>
    <w:rsid w:val="008575F9"/>
    <w:rsid w:val="00861AFB"/>
    <w:rsid w:val="008638DE"/>
    <w:rsid w:val="00863B20"/>
    <w:rsid w:val="008646DE"/>
    <w:rsid w:val="00864902"/>
    <w:rsid w:val="00864BE7"/>
    <w:rsid w:val="00865200"/>
    <w:rsid w:val="00867550"/>
    <w:rsid w:val="00871695"/>
    <w:rsid w:val="008746C9"/>
    <w:rsid w:val="008774F3"/>
    <w:rsid w:val="008841DC"/>
    <w:rsid w:val="00884594"/>
    <w:rsid w:val="00885631"/>
    <w:rsid w:val="00885B48"/>
    <w:rsid w:val="00886006"/>
    <w:rsid w:val="00887D34"/>
    <w:rsid w:val="00890397"/>
    <w:rsid w:val="00891C25"/>
    <w:rsid w:val="00894200"/>
    <w:rsid w:val="0089475B"/>
    <w:rsid w:val="008973EE"/>
    <w:rsid w:val="008A0235"/>
    <w:rsid w:val="008A5C1F"/>
    <w:rsid w:val="008A75B7"/>
    <w:rsid w:val="008A7C7E"/>
    <w:rsid w:val="008B21BA"/>
    <w:rsid w:val="008B4EE2"/>
    <w:rsid w:val="008B7644"/>
    <w:rsid w:val="008C199E"/>
    <w:rsid w:val="008C1CA5"/>
    <w:rsid w:val="008C48DD"/>
    <w:rsid w:val="008D089D"/>
    <w:rsid w:val="008D0CD7"/>
    <w:rsid w:val="008E097E"/>
    <w:rsid w:val="008E0E14"/>
    <w:rsid w:val="008E45CE"/>
    <w:rsid w:val="008E792C"/>
    <w:rsid w:val="008F0B04"/>
    <w:rsid w:val="008F4B04"/>
    <w:rsid w:val="008F6788"/>
    <w:rsid w:val="008F7968"/>
    <w:rsid w:val="008F7C55"/>
    <w:rsid w:val="00900E5D"/>
    <w:rsid w:val="00901BAF"/>
    <w:rsid w:val="009056F4"/>
    <w:rsid w:val="00907A90"/>
    <w:rsid w:val="00910FB3"/>
    <w:rsid w:val="0091272B"/>
    <w:rsid w:val="00913190"/>
    <w:rsid w:val="00915512"/>
    <w:rsid w:val="00930694"/>
    <w:rsid w:val="0093161D"/>
    <w:rsid w:val="00932193"/>
    <w:rsid w:val="00932BE6"/>
    <w:rsid w:val="00933215"/>
    <w:rsid w:val="0093521F"/>
    <w:rsid w:val="00935483"/>
    <w:rsid w:val="009365F5"/>
    <w:rsid w:val="0093786C"/>
    <w:rsid w:val="00945677"/>
    <w:rsid w:val="00952192"/>
    <w:rsid w:val="0095571F"/>
    <w:rsid w:val="00955B84"/>
    <w:rsid w:val="00955F5B"/>
    <w:rsid w:val="0095689B"/>
    <w:rsid w:val="009619EF"/>
    <w:rsid w:val="00962F78"/>
    <w:rsid w:val="00963280"/>
    <w:rsid w:val="0096346D"/>
    <w:rsid w:val="009637ED"/>
    <w:rsid w:val="00964CF5"/>
    <w:rsid w:val="00965A0E"/>
    <w:rsid w:val="0096609F"/>
    <w:rsid w:val="00967C1B"/>
    <w:rsid w:val="00967CB2"/>
    <w:rsid w:val="00970DA2"/>
    <w:rsid w:val="00971600"/>
    <w:rsid w:val="00972B2C"/>
    <w:rsid w:val="00974E28"/>
    <w:rsid w:val="009769AA"/>
    <w:rsid w:val="00980802"/>
    <w:rsid w:val="0098279E"/>
    <w:rsid w:val="00982E86"/>
    <w:rsid w:val="009839E0"/>
    <w:rsid w:val="00984342"/>
    <w:rsid w:val="009868D6"/>
    <w:rsid w:val="00990577"/>
    <w:rsid w:val="0099301F"/>
    <w:rsid w:val="0099512C"/>
    <w:rsid w:val="00996655"/>
    <w:rsid w:val="009969D2"/>
    <w:rsid w:val="009973B4"/>
    <w:rsid w:val="009A1279"/>
    <w:rsid w:val="009A4B5C"/>
    <w:rsid w:val="009B2902"/>
    <w:rsid w:val="009B3649"/>
    <w:rsid w:val="009B4D68"/>
    <w:rsid w:val="009B6AB3"/>
    <w:rsid w:val="009B7EB8"/>
    <w:rsid w:val="009C0943"/>
    <w:rsid w:val="009C131F"/>
    <w:rsid w:val="009C2CA5"/>
    <w:rsid w:val="009C38B1"/>
    <w:rsid w:val="009C4364"/>
    <w:rsid w:val="009D1075"/>
    <w:rsid w:val="009D1A3F"/>
    <w:rsid w:val="009D29EE"/>
    <w:rsid w:val="009D2F66"/>
    <w:rsid w:val="009D57CF"/>
    <w:rsid w:val="009D685F"/>
    <w:rsid w:val="009D7E70"/>
    <w:rsid w:val="009E2238"/>
    <w:rsid w:val="009E30DA"/>
    <w:rsid w:val="009E3D68"/>
    <w:rsid w:val="009E461A"/>
    <w:rsid w:val="009E5268"/>
    <w:rsid w:val="009E6193"/>
    <w:rsid w:val="009E7DD1"/>
    <w:rsid w:val="009F36FD"/>
    <w:rsid w:val="009F60A1"/>
    <w:rsid w:val="009F6777"/>
    <w:rsid w:val="009F7BFC"/>
    <w:rsid w:val="009F7EED"/>
    <w:rsid w:val="00A0091F"/>
    <w:rsid w:val="00A01C76"/>
    <w:rsid w:val="00A03F62"/>
    <w:rsid w:val="00A0615F"/>
    <w:rsid w:val="00A06235"/>
    <w:rsid w:val="00A0721A"/>
    <w:rsid w:val="00A12B81"/>
    <w:rsid w:val="00A138EC"/>
    <w:rsid w:val="00A13A49"/>
    <w:rsid w:val="00A14BEC"/>
    <w:rsid w:val="00A15CD8"/>
    <w:rsid w:val="00A16ADD"/>
    <w:rsid w:val="00A172FF"/>
    <w:rsid w:val="00A2065D"/>
    <w:rsid w:val="00A22E30"/>
    <w:rsid w:val="00A23822"/>
    <w:rsid w:val="00A274F0"/>
    <w:rsid w:val="00A3538B"/>
    <w:rsid w:val="00A3604B"/>
    <w:rsid w:val="00A363E6"/>
    <w:rsid w:val="00A378F6"/>
    <w:rsid w:val="00A40551"/>
    <w:rsid w:val="00A41F32"/>
    <w:rsid w:val="00A42D8B"/>
    <w:rsid w:val="00A4482F"/>
    <w:rsid w:val="00A506D1"/>
    <w:rsid w:val="00A50B4B"/>
    <w:rsid w:val="00A52368"/>
    <w:rsid w:val="00A54B81"/>
    <w:rsid w:val="00A55098"/>
    <w:rsid w:val="00A600E6"/>
    <w:rsid w:val="00A61009"/>
    <w:rsid w:val="00A61BC7"/>
    <w:rsid w:val="00A648EC"/>
    <w:rsid w:val="00A6529A"/>
    <w:rsid w:val="00A72BBB"/>
    <w:rsid w:val="00A7519D"/>
    <w:rsid w:val="00A801DE"/>
    <w:rsid w:val="00A811EC"/>
    <w:rsid w:val="00A81FD7"/>
    <w:rsid w:val="00A824AF"/>
    <w:rsid w:val="00A90A22"/>
    <w:rsid w:val="00A93E26"/>
    <w:rsid w:val="00A93E66"/>
    <w:rsid w:val="00A969B9"/>
    <w:rsid w:val="00A97734"/>
    <w:rsid w:val="00AA1858"/>
    <w:rsid w:val="00AA7F40"/>
    <w:rsid w:val="00AA7FA8"/>
    <w:rsid w:val="00AB41FC"/>
    <w:rsid w:val="00AB7D2F"/>
    <w:rsid w:val="00AC24B1"/>
    <w:rsid w:val="00AC260E"/>
    <w:rsid w:val="00AC451F"/>
    <w:rsid w:val="00AC7290"/>
    <w:rsid w:val="00AD1293"/>
    <w:rsid w:val="00AD145D"/>
    <w:rsid w:val="00AD20E6"/>
    <w:rsid w:val="00AD3ACD"/>
    <w:rsid w:val="00AD3B9E"/>
    <w:rsid w:val="00AD6F34"/>
    <w:rsid w:val="00AD70C4"/>
    <w:rsid w:val="00AD70E9"/>
    <w:rsid w:val="00AE020D"/>
    <w:rsid w:val="00AE06FB"/>
    <w:rsid w:val="00AE07A4"/>
    <w:rsid w:val="00AE1B53"/>
    <w:rsid w:val="00AE5B42"/>
    <w:rsid w:val="00AF0AAB"/>
    <w:rsid w:val="00AF156F"/>
    <w:rsid w:val="00AF3B58"/>
    <w:rsid w:val="00AF616B"/>
    <w:rsid w:val="00B01EFA"/>
    <w:rsid w:val="00B034AD"/>
    <w:rsid w:val="00B04169"/>
    <w:rsid w:val="00B0685B"/>
    <w:rsid w:val="00B06DC4"/>
    <w:rsid w:val="00B14206"/>
    <w:rsid w:val="00B144C7"/>
    <w:rsid w:val="00B144F9"/>
    <w:rsid w:val="00B17991"/>
    <w:rsid w:val="00B22671"/>
    <w:rsid w:val="00B22D22"/>
    <w:rsid w:val="00B23030"/>
    <w:rsid w:val="00B237B9"/>
    <w:rsid w:val="00B23CAA"/>
    <w:rsid w:val="00B2489D"/>
    <w:rsid w:val="00B27F58"/>
    <w:rsid w:val="00B34503"/>
    <w:rsid w:val="00B35F3B"/>
    <w:rsid w:val="00B410EE"/>
    <w:rsid w:val="00B470B1"/>
    <w:rsid w:val="00B57843"/>
    <w:rsid w:val="00B6391A"/>
    <w:rsid w:val="00B63BD0"/>
    <w:rsid w:val="00B709FC"/>
    <w:rsid w:val="00B723D1"/>
    <w:rsid w:val="00B728E8"/>
    <w:rsid w:val="00B72906"/>
    <w:rsid w:val="00B73B0E"/>
    <w:rsid w:val="00B73EA8"/>
    <w:rsid w:val="00B764C4"/>
    <w:rsid w:val="00B8202D"/>
    <w:rsid w:val="00B82181"/>
    <w:rsid w:val="00B826F3"/>
    <w:rsid w:val="00B8395C"/>
    <w:rsid w:val="00B84A9C"/>
    <w:rsid w:val="00B91271"/>
    <w:rsid w:val="00B91605"/>
    <w:rsid w:val="00B91895"/>
    <w:rsid w:val="00B929FD"/>
    <w:rsid w:val="00B95B99"/>
    <w:rsid w:val="00B95F69"/>
    <w:rsid w:val="00B95F75"/>
    <w:rsid w:val="00B96B2E"/>
    <w:rsid w:val="00BA420F"/>
    <w:rsid w:val="00BA4A2A"/>
    <w:rsid w:val="00BB2CE4"/>
    <w:rsid w:val="00BB6AD3"/>
    <w:rsid w:val="00BC0122"/>
    <w:rsid w:val="00BC16C1"/>
    <w:rsid w:val="00BC2015"/>
    <w:rsid w:val="00BC3AA4"/>
    <w:rsid w:val="00BC528D"/>
    <w:rsid w:val="00BC66FE"/>
    <w:rsid w:val="00BC71B0"/>
    <w:rsid w:val="00BD4E08"/>
    <w:rsid w:val="00BD6DBC"/>
    <w:rsid w:val="00BE0F28"/>
    <w:rsid w:val="00BE17FE"/>
    <w:rsid w:val="00BE363D"/>
    <w:rsid w:val="00BE3E2D"/>
    <w:rsid w:val="00BE48B3"/>
    <w:rsid w:val="00BF3103"/>
    <w:rsid w:val="00BF4590"/>
    <w:rsid w:val="00BF597E"/>
    <w:rsid w:val="00C03098"/>
    <w:rsid w:val="00C04FD5"/>
    <w:rsid w:val="00C06ED5"/>
    <w:rsid w:val="00C10351"/>
    <w:rsid w:val="00C10EF3"/>
    <w:rsid w:val="00C12D8C"/>
    <w:rsid w:val="00C14685"/>
    <w:rsid w:val="00C158B7"/>
    <w:rsid w:val="00C23379"/>
    <w:rsid w:val="00C269BE"/>
    <w:rsid w:val="00C26F91"/>
    <w:rsid w:val="00C274AE"/>
    <w:rsid w:val="00C31C73"/>
    <w:rsid w:val="00C4059C"/>
    <w:rsid w:val="00C46BF6"/>
    <w:rsid w:val="00C47138"/>
    <w:rsid w:val="00C5112E"/>
    <w:rsid w:val="00C513CB"/>
    <w:rsid w:val="00C51A36"/>
    <w:rsid w:val="00C5320D"/>
    <w:rsid w:val="00C548BE"/>
    <w:rsid w:val="00C548E8"/>
    <w:rsid w:val="00C55228"/>
    <w:rsid w:val="00C573CA"/>
    <w:rsid w:val="00C613B6"/>
    <w:rsid w:val="00C62031"/>
    <w:rsid w:val="00C62CBA"/>
    <w:rsid w:val="00C6305A"/>
    <w:rsid w:val="00C65BD3"/>
    <w:rsid w:val="00C66D8B"/>
    <w:rsid w:val="00C6799A"/>
    <w:rsid w:val="00C67E19"/>
    <w:rsid w:val="00C67E47"/>
    <w:rsid w:val="00C71E85"/>
    <w:rsid w:val="00C72957"/>
    <w:rsid w:val="00C73C26"/>
    <w:rsid w:val="00C745AF"/>
    <w:rsid w:val="00C750BE"/>
    <w:rsid w:val="00C76A3E"/>
    <w:rsid w:val="00C7736E"/>
    <w:rsid w:val="00C7739B"/>
    <w:rsid w:val="00C86F9B"/>
    <w:rsid w:val="00C87FEE"/>
    <w:rsid w:val="00C90930"/>
    <w:rsid w:val="00C9113A"/>
    <w:rsid w:val="00C920A9"/>
    <w:rsid w:val="00C93340"/>
    <w:rsid w:val="00C94191"/>
    <w:rsid w:val="00CB0154"/>
    <w:rsid w:val="00CB0A84"/>
    <w:rsid w:val="00CB0D49"/>
    <w:rsid w:val="00CB127F"/>
    <w:rsid w:val="00CB260B"/>
    <w:rsid w:val="00CB2E47"/>
    <w:rsid w:val="00CB3729"/>
    <w:rsid w:val="00CB43FE"/>
    <w:rsid w:val="00CB49AB"/>
    <w:rsid w:val="00CB49F0"/>
    <w:rsid w:val="00CB56B3"/>
    <w:rsid w:val="00CB697E"/>
    <w:rsid w:val="00CC0AFF"/>
    <w:rsid w:val="00CC2A01"/>
    <w:rsid w:val="00CC6864"/>
    <w:rsid w:val="00CC7C8B"/>
    <w:rsid w:val="00CD3561"/>
    <w:rsid w:val="00CD394A"/>
    <w:rsid w:val="00CD6C83"/>
    <w:rsid w:val="00CE0AA5"/>
    <w:rsid w:val="00CE2A9E"/>
    <w:rsid w:val="00CE315A"/>
    <w:rsid w:val="00CE40F0"/>
    <w:rsid w:val="00CE4B8A"/>
    <w:rsid w:val="00CE7BE1"/>
    <w:rsid w:val="00CF1062"/>
    <w:rsid w:val="00CF147A"/>
    <w:rsid w:val="00CF14D8"/>
    <w:rsid w:val="00CF1726"/>
    <w:rsid w:val="00CF5473"/>
    <w:rsid w:val="00CF5717"/>
    <w:rsid w:val="00CF6C5C"/>
    <w:rsid w:val="00CF7295"/>
    <w:rsid w:val="00D0031F"/>
    <w:rsid w:val="00D004F0"/>
    <w:rsid w:val="00D06F59"/>
    <w:rsid w:val="00D07696"/>
    <w:rsid w:val="00D139FE"/>
    <w:rsid w:val="00D13B86"/>
    <w:rsid w:val="00D1449C"/>
    <w:rsid w:val="00D15523"/>
    <w:rsid w:val="00D17651"/>
    <w:rsid w:val="00D209B7"/>
    <w:rsid w:val="00D21AF9"/>
    <w:rsid w:val="00D300B0"/>
    <w:rsid w:val="00D30CC3"/>
    <w:rsid w:val="00D30F40"/>
    <w:rsid w:val="00D3392D"/>
    <w:rsid w:val="00D34A3D"/>
    <w:rsid w:val="00D34C3B"/>
    <w:rsid w:val="00D379ED"/>
    <w:rsid w:val="00D37D1B"/>
    <w:rsid w:val="00D41F5E"/>
    <w:rsid w:val="00D429D7"/>
    <w:rsid w:val="00D42D53"/>
    <w:rsid w:val="00D52D6B"/>
    <w:rsid w:val="00D55E69"/>
    <w:rsid w:val="00D562F6"/>
    <w:rsid w:val="00D570B2"/>
    <w:rsid w:val="00D66956"/>
    <w:rsid w:val="00D70C55"/>
    <w:rsid w:val="00D72E49"/>
    <w:rsid w:val="00D74868"/>
    <w:rsid w:val="00D74BF6"/>
    <w:rsid w:val="00D74FBF"/>
    <w:rsid w:val="00D7717E"/>
    <w:rsid w:val="00D80770"/>
    <w:rsid w:val="00D83050"/>
    <w:rsid w:val="00D8331E"/>
    <w:rsid w:val="00D8388C"/>
    <w:rsid w:val="00D841C2"/>
    <w:rsid w:val="00D90417"/>
    <w:rsid w:val="00D94B75"/>
    <w:rsid w:val="00D9603D"/>
    <w:rsid w:val="00D9648D"/>
    <w:rsid w:val="00D96880"/>
    <w:rsid w:val="00D97182"/>
    <w:rsid w:val="00DA0DF0"/>
    <w:rsid w:val="00DA119F"/>
    <w:rsid w:val="00DA27D6"/>
    <w:rsid w:val="00DA2CBF"/>
    <w:rsid w:val="00DA743F"/>
    <w:rsid w:val="00DB0312"/>
    <w:rsid w:val="00DB1D00"/>
    <w:rsid w:val="00DC4478"/>
    <w:rsid w:val="00DC570B"/>
    <w:rsid w:val="00DD00DF"/>
    <w:rsid w:val="00DD10DC"/>
    <w:rsid w:val="00DD1C8E"/>
    <w:rsid w:val="00DD1D21"/>
    <w:rsid w:val="00DD4CB0"/>
    <w:rsid w:val="00DD5F01"/>
    <w:rsid w:val="00DD7876"/>
    <w:rsid w:val="00DE146D"/>
    <w:rsid w:val="00DE2AFD"/>
    <w:rsid w:val="00DE2D80"/>
    <w:rsid w:val="00DE6FCE"/>
    <w:rsid w:val="00DF1C4B"/>
    <w:rsid w:val="00DF6570"/>
    <w:rsid w:val="00DF76DB"/>
    <w:rsid w:val="00E038E4"/>
    <w:rsid w:val="00E0475D"/>
    <w:rsid w:val="00E0521C"/>
    <w:rsid w:val="00E070B7"/>
    <w:rsid w:val="00E07C6F"/>
    <w:rsid w:val="00E10F41"/>
    <w:rsid w:val="00E11CD7"/>
    <w:rsid w:val="00E13D9A"/>
    <w:rsid w:val="00E14BA9"/>
    <w:rsid w:val="00E20F64"/>
    <w:rsid w:val="00E20FE1"/>
    <w:rsid w:val="00E221C3"/>
    <w:rsid w:val="00E26F68"/>
    <w:rsid w:val="00E30F58"/>
    <w:rsid w:val="00E31F2E"/>
    <w:rsid w:val="00E324C4"/>
    <w:rsid w:val="00E32D13"/>
    <w:rsid w:val="00E33F40"/>
    <w:rsid w:val="00E41911"/>
    <w:rsid w:val="00E43467"/>
    <w:rsid w:val="00E43822"/>
    <w:rsid w:val="00E43A35"/>
    <w:rsid w:val="00E457E0"/>
    <w:rsid w:val="00E45C87"/>
    <w:rsid w:val="00E5381E"/>
    <w:rsid w:val="00E54035"/>
    <w:rsid w:val="00E54B10"/>
    <w:rsid w:val="00E5717A"/>
    <w:rsid w:val="00E57C5E"/>
    <w:rsid w:val="00E6219F"/>
    <w:rsid w:val="00E62996"/>
    <w:rsid w:val="00E63714"/>
    <w:rsid w:val="00E64A51"/>
    <w:rsid w:val="00E6527A"/>
    <w:rsid w:val="00E676F9"/>
    <w:rsid w:val="00E67C09"/>
    <w:rsid w:val="00E72521"/>
    <w:rsid w:val="00E7408D"/>
    <w:rsid w:val="00E77013"/>
    <w:rsid w:val="00E806B5"/>
    <w:rsid w:val="00E910C0"/>
    <w:rsid w:val="00E954BE"/>
    <w:rsid w:val="00E95637"/>
    <w:rsid w:val="00E969E4"/>
    <w:rsid w:val="00E97424"/>
    <w:rsid w:val="00EA0B8F"/>
    <w:rsid w:val="00EA55F7"/>
    <w:rsid w:val="00EA5870"/>
    <w:rsid w:val="00EA7465"/>
    <w:rsid w:val="00EA77CB"/>
    <w:rsid w:val="00EB0164"/>
    <w:rsid w:val="00EB49A0"/>
    <w:rsid w:val="00EB5DF5"/>
    <w:rsid w:val="00EB65F7"/>
    <w:rsid w:val="00EC0643"/>
    <w:rsid w:val="00EC42F5"/>
    <w:rsid w:val="00EC526F"/>
    <w:rsid w:val="00EC54DD"/>
    <w:rsid w:val="00ED0F62"/>
    <w:rsid w:val="00ED49CB"/>
    <w:rsid w:val="00ED6041"/>
    <w:rsid w:val="00EE173B"/>
    <w:rsid w:val="00EE1F14"/>
    <w:rsid w:val="00EE5CD9"/>
    <w:rsid w:val="00EE6713"/>
    <w:rsid w:val="00EE6F50"/>
    <w:rsid w:val="00EF29B6"/>
    <w:rsid w:val="00EF3569"/>
    <w:rsid w:val="00EF36E7"/>
    <w:rsid w:val="00F03C37"/>
    <w:rsid w:val="00F068E6"/>
    <w:rsid w:val="00F06B25"/>
    <w:rsid w:val="00F06D09"/>
    <w:rsid w:val="00F079BB"/>
    <w:rsid w:val="00F11201"/>
    <w:rsid w:val="00F115BF"/>
    <w:rsid w:val="00F13E43"/>
    <w:rsid w:val="00F14D99"/>
    <w:rsid w:val="00F2038C"/>
    <w:rsid w:val="00F204EA"/>
    <w:rsid w:val="00F2133B"/>
    <w:rsid w:val="00F25AFF"/>
    <w:rsid w:val="00F31E8A"/>
    <w:rsid w:val="00F32CB9"/>
    <w:rsid w:val="00F33729"/>
    <w:rsid w:val="00F3372A"/>
    <w:rsid w:val="00F35B1F"/>
    <w:rsid w:val="00F35CD7"/>
    <w:rsid w:val="00F3666E"/>
    <w:rsid w:val="00F36BE9"/>
    <w:rsid w:val="00F377A9"/>
    <w:rsid w:val="00F41617"/>
    <w:rsid w:val="00F42776"/>
    <w:rsid w:val="00F42DE4"/>
    <w:rsid w:val="00F44D4E"/>
    <w:rsid w:val="00F4541A"/>
    <w:rsid w:val="00F4767C"/>
    <w:rsid w:val="00F47878"/>
    <w:rsid w:val="00F5567F"/>
    <w:rsid w:val="00F55DB9"/>
    <w:rsid w:val="00F56BAF"/>
    <w:rsid w:val="00F606E1"/>
    <w:rsid w:val="00F61B7C"/>
    <w:rsid w:val="00F6254E"/>
    <w:rsid w:val="00F66C77"/>
    <w:rsid w:val="00F6739D"/>
    <w:rsid w:val="00F70CBA"/>
    <w:rsid w:val="00F7355A"/>
    <w:rsid w:val="00F814CB"/>
    <w:rsid w:val="00F83639"/>
    <w:rsid w:val="00F83DBF"/>
    <w:rsid w:val="00F83EB6"/>
    <w:rsid w:val="00F840C3"/>
    <w:rsid w:val="00F84679"/>
    <w:rsid w:val="00F856F5"/>
    <w:rsid w:val="00F8598C"/>
    <w:rsid w:val="00F868CA"/>
    <w:rsid w:val="00F956F5"/>
    <w:rsid w:val="00F97053"/>
    <w:rsid w:val="00F97505"/>
    <w:rsid w:val="00FA0833"/>
    <w:rsid w:val="00FA2988"/>
    <w:rsid w:val="00FA350D"/>
    <w:rsid w:val="00FA4F9E"/>
    <w:rsid w:val="00FB03C3"/>
    <w:rsid w:val="00FB150B"/>
    <w:rsid w:val="00FB5A65"/>
    <w:rsid w:val="00FB6C45"/>
    <w:rsid w:val="00FC01AB"/>
    <w:rsid w:val="00FC0DF3"/>
    <w:rsid w:val="00FC2C3B"/>
    <w:rsid w:val="00FC5A11"/>
    <w:rsid w:val="00FC6957"/>
    <w:rsid w:val="00FD0A28"/>
    <w:rsid w:val="00FD2869"/>
    <w:rsid w:val="00FD3905"/>
    <w:rsid w:val="00FD5EE5"/>
    <w:rsid w:val="00FD72A6"/>
    <w:rsid w:val="00FE09C9"/>
    <w:rsid w:val="00FE3DB1"/>
    <w:rsid w:val="00FE4BFA"/>
    <w:rsid w:val="00FE62BD"/>
    <w:rsid w:val="00FE64AA"/>
    <w:rsid w:val="00FE673C"/>
    <w:rsid w:val="00FE78FA"/>
    <w:rsid w:val="00FF1820"/>
    <w:rsid w:val="03C7005D"/>
    <w:rsid w:val="040D1B36"/>
    <w:rsid w:val="048F19B7"/>
    <w:rsid w:val="04DF2389"/>
    <w:rsid w:val="04EB1C1D"/>
    <w:rsid w:val="05310BBD"/>
    <w:rsid w:val="0A737044"/>
    <w:rsid w:val="0AC17ECD"/>
    <w:rsid w:val="0CED4D14"/>
    <w:rsid w:val="0F8A6567"/>
    <w:rsid w:val="0F9E4743"/>
    <w:rsid w:val="108219C2"/>
    <w:rsid w:val="10A60D46"/>
    <w:rsid w:val="112D483A"/>
    <w:rsid w:val="11DD3B1D"/>
    <w:rsid w:val="12887471"/>
    <w:rsid w:val="12E33480"/>
    <w:rsid w:val="132A4349"/>
    <w:rsid w:val="16DE2B60"/>
    <w:rsid w:val="18FF030E"/>
    <w:rsid w:val="1C956ACF"/>
    <w:rsid w:val="1D0C3318"/>
    <w:rsid w:val="1D870D1B"/>
    <w:rsid w:val="1E0939EB"/>
    <w:rsid w:val="1EEC5218"/>
    <w:rsid w:val="209A786A"/>
    <w:rsid w:val="216C74FC"/>
    <w:rsid w:val="21FF50C2"/>
    <w:rsid w:val="22EB4396"/>
    <w:rsid w:val="244F7C51"/>
    <w:rsid w:val="25E013CB"/>
    <w:rsid w:val="26916F67"/>
    <w:rsid w:val="275B3EBE"/>
    <w:rsid w:val="27B720F0"/>
    <w:rsid w:val="2BA15A52"/>
    <w:rsid w:val="300A0002"/>
    <w:rsid w:val="30641684"/>
    <w:rsid w:val="30814107"/>
    <w:rsid w:val="31155586"/>
    <w:rsid w:val="31337058"/>
    <w:rsid w:val="31C267C5"/>
    <w:rsid w:val="32342B66"/>
    <w:rsid w:val="326B4999"/>
    <w:rsid w:val="342D0A6F"/>
    <w:rsid w:val="35E6409A"/>
    <w:rsid w:val="362143AC"/>
    <w:rsid w:val="36A857A1"/>
    <w:rsid w:val="37915867"/>
    <w:rsid w:val="39541A25"/>
    <w:rsid w:val="39A1334A"/>
    <w:rsid w:val="3A8C778B"/>
    <w:rsid w:val="3BBC42F8"/>
    <w:rsid w:val="3D3E2E41"/>
    <w:rsid w:val="3DEB458A"/>
    <w:rsid w:val="3F7E6EFF"/>
    <w:rsid w:val="40FB31F5"/>
    <w:rsid w:val="417A4E61"/>
    <w:rsid w:val="418115F5"/>
    <w:rsid w:val="41E00B06"/>
    <w:rsid w:val="42B5607B"/>
    <w:rsid w:val="44E14439"/>
    <w:rsid w:val="47582ECC"/>
    <w:rsid w:val="493F01AA"/>
    <w:rsid w:val="4C577BEC"/>
    <w:rsid w:val="4D311BBD"/>
    <w:rsid w:val="4F501316"/>
    <w:rsid w:val="4F6909D3"/>
    <w:rsid w:val="4FD64180"/>
    <w:rsid w:val="4FF0324F"/>
    <w:rsid w:val="514F700D"/>
    <w:rsid w:val="51E400E1"/>
    <w:rsid w:val="525E60A3"/>
    <w:rsid w:val="5288316D"/>
    <w:rsid w:val="538A1C7B"/>
    <w:rsid w:val="55C2413C"/>
    <w:rsid w:val="56757438"/>
    <w:rsid w:val="56DD5007"/>
    <w:rsid w:val="56F4553D"/>
    <w:rsid w:val="57A46439"/>
    <w:rsid w:val="58901EB1"/>
    <w:rsid w:val="58954957"/>
    <w:rsid w:val="58D058C0"/>
    <w:rsid w:val="58D15DAD"/>
    <w:rsid w:val="5A6E2B7A"/>
    <w:rsid w:val="5AE1212E"/>
    <w:rsid w:val="5D2A613A"/>
    <w:rsid w:val="5EA12B9A"/>
    <w:rsid w:val="5F1322EF"/>
    <w:rsid w:val="61C76407"/>
    <w:rsid w:val="62A741E8"/>
    <w:rsid w:val="62D95D0D"/>
    <w:rsid w:val="66FD3BEA"/>
    <w:rsid w:val="681303EE"/>
    <w:rsid w:val="6927226B"/>
    <w:rsid w:val="69394023"/>
    <w:rsid w:val="6B6B7722"/>
    <w:rsid w:val="6CF4532F"/>
    <w:rsid w:val="6D7E31CD"/>
    <w:rsid w:val="723B2BC5"/>
    <w:rsid w:val="732145EA"/>
    <w:rsid w:val="73F931FB"/>
    <w:rsid w:val="78614EB5"/>
    <w:rsid w:val="78EF5208"/>
    <w:rsid w:val="794C309D"/>
    <w:rsid w:val="79DC5EEF"/>
    <w:rsid w:val="7B252C1E"/>
    <w:rsid w:val="7B474E1C"/>
    <w:rsid w:val="7B4E4B36"/>
    <w:rsid w:val="7C9D69AC"/>
    <w:rsid w:val="7CF5538D"/>
    <w:rsid w:val="7E0447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link w:val="19"/>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adjustRightInd w:val="0"/>
      <w:spacing w:line="360" w:lineRule="atLeast"/>
      <w:ind w:left="480"/>
      <w:textAlignment w:val="baseline"/>
    </w:pPr>
    <w:rPr>
      <w:kern w:val="0"/>
    </w:rPr>
  </w:style>
  <w:style w:type="paragraph" w:styleId="5">
    <w:name w:val="Body Text"/>
    <w:basedOn w:val="1"/>
    <w:link w:val="20"/>
    <w:unhideWhenUsed/>
    <w:qFormat/>
    <w:uiPriority w:val="0"/>
    <w:pPr>
      <w:spacing w:line="420" w:lineRule="exact"/>
    </w:pPr>
    <w:rPr>
      <w:sz w:val="24"/>
    </w:rPr>
  </w:style>
  <w:style w:type="paragraph" w:styleId="6">
    <w:name w:val="Plain Text"/>
    <w:basedOn w:val="1"/>
    <w:link w:val="21"/>
    <w:qFormat/>
    <w:uiPriority w:val="0"/>
    <w:rPr>
      <w:rFonts w:ascii="宋体" w:hAnsi="Courier New"/>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itle"/>
    <w:basedOn w:val="1"/>
    <w:link w:val="22"/>
    <w:qFormat/>
    <w:uiPriority w:val="0"/>
    <w:pPr>
      <w:widowControl/>
      <w:jc w:val="center"/>
    </w:pPr>
    <w:rPr>
      <w:rFonts w:ascii="Book Antiqua" w:hAnsi="Book Antiqua"/>
      <w:b/>
      <w:kern w:val="0"/>
      <w:sz w:val="31"/>
      <w:szCs w:val="31"/>
      <w:u w:val="single"/>
      <w:lang w:eastAsia="en-US"/>
    </w:rPr>
  </w:style>
  <w:style w:type="character" w:customStyle="1" w:styleId="13">
    <w:name w:val="页眉 字符"/>
    <w:basedOn w:val="12"/>
    <w:link w:val="9"/>
    <w:qFormat/>
    <w:uiPriority w:val="0"/>
    <w:rPr>
      <w:rFonts w:ascii="Times New Roman" w:hAnsi="Times New Roman" w:eastAsia="宋体" w:cs="Times New Roman"/>
      <w:sz w:val="18"/>
      <w:szCs w:val="18"/>
    </w:rPr>
  </w:style>
  <w:style w:type="character" w:customStyle="1" w:styleId="14">
    <w:name w:val="页脚 字符"/>
    <w:basedOn w:val="12"/>
    <w:link w:val="8"/>
    <w:qFormat/>
    <w:uiPriority w:val="99"/>
    <w:rPr>
      <w:rFonts w:ascii="Times New Roman" w:hAnsi="Times New Roman" w:eastAsia="宋体" w:cs="Times New Roman"/>
      <w:sz w:val="18"/>
      <w:szCs w:val="18"/>
    </w:rPr>
  </w:style>
  <w:style w:type="character" w:customStyle="1" w:styleId="15">
    <w:name w:val="批注框文本 字符"/>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fontstyle01"/>
    <w:basedOn w:val="12"/>
    <w:qFormat/>
    <w:uiPriority w:val="0"/>
    <w:rPr>
      <w:rFonts w:hint="eastAsia" w:ascii="宋体" w:hAnsi="宋体" w:eastAsia="宋体"/>
      <w:color w:val="000000"/>
      <w:sz w:val="24"/>
      <w:szCs w:val="24"/>
    </w:rPr>
  </w:style>
  <w:style w:type="character" w:customStyle="1" w:styleId="18">
    <w:name w:val="fontstyle21"/>
    <w:basedOn w:val="12"/>
    <w:qFormat/>
    <w:uiPriority w:val="0"/>
    <w:rPr>
      <w:rFonts w:hint="default" w:ascii="Times New Roman" w:hAnsi="Times New Roman" w:cs="Times New Roman"/>
      <w:color w:val="000000"/>
      <w:sz w:val="24"/>
      <w:szCs w:val="24"/>
    </w:rPr>
  </w:style>
  <w:style w:type="character" w:customStyle="1" w:styleId="19">
    <w:name w:val="标题 2 字符"/>
    <w:basedOn w:val="12"/>
    <w:link w:val="3"/>
    <w:qFormat/>
    <w:uiPriority w:val="9"/>
    <w:rPr>
      <w:rFonts w:asciiTheme="majorHAnsi" w:hAnsiTheme="majorHAnsi" w:eastAsiaTheme="majorEastAsia" w:cstheme="majorBidi"/>
      <w:b/>
      <w:bCs/>
      <w:kern w:val="2"/>
      <w:sz w:val="32"/>
      <w:szCs w:val="32"/>
    </w:rPr>
  </w:style>
  <w:style w:type="character" w:customStyle="1" w:styleId="20">
    <w:name w:val="正文文本 字符"/>
    <w:basedOn w:val="12"/>
    <w:link w:val="5"/>
    <w:qFormat/>
    <w:uiPriority w:val="99"/>
    <w:rPr>
      <w:rFonts w:ascii="Times New Roman" w:hAnsi="Times New Roman" w:eastAsia="宋体" w:cs="Times New Roman"/>
      <w:kern w:val="2"/>
      <w:sz w:val="24"/>
    </w:rPr>
  </w:style>
  <w:style w:type="character" w:customStyle="1" w:styleId="21">
    <w:name w:val="纯文本 字符"/>
    <w:basedOn w:val="12"/>
    <w:link w:val="6"/>
    <w:qFormat/>
    <w:uiPriority w:val="0"/>
    <w:rPr>
      <w:rFonts w:ascii="宋体" w:hAnsi="Courier New" w:eastAsia="宋体" w:cs="Times New Roman"/>
      <w:kern w:val="2"/>
      <w:sz w:val="21"/>
    </w:rPr>
  </w:style>
  <w:style w:type="character" w:customStyle="1" w:styleId="22">
    <w:name w:val="标题 字符"/>
    <w:basedOn w:val="12"/>
    <w:link w:val="10"/>
    <w:qFormat/>
    <w:uiPriority w:val="0"/>
    <w:rPr>
      <w:rFonts w:ascii="Book Antiqua" w:hAnsi="Book Antiqua" w:eastAsia="宋体" w:cs="Times New Roman"/>
      <w:b/>
      <w:sz w:val="31"/>
      <w:szCs w:val="31"/>
      <w:u w:val="single"/>
      <w:lang w:eastAsia="en-US"/>
    </w:rPr>
  </w:style>
  <w:style w:type="paragraph" w:styleId="23">
    <w:name w:val="List Paragraph"/>
    <w:basedOn w:val="1"/>
    <w:unhideWhenUsed/>
    <w:qFormat/>
    <w:uiPriority w:val="99"/>
    <w:pPr>
      <w:ind w:firstLine="420" w:firstLineChars="200"/>
    </w:pPr>
  </w:style>
  <w:style w:type="paragraph" w:customStyle="1" w:styleId="24">
    <w:name w:val="cjk"/>
    <w:basedOn w:val="1"/>
    <w:qFormat/>
    <w:uiPriority w:val="0"/>
    <w:pPr>
      <w:widowControl/>
      <w:spacing w:before="100" w:beforeAutospacing="1" w:after="142"/>
    </w:pPr>
    <w:rPr>
      <w:rFonts w:ascii="等线" w:hAnsi="等线" w:eastAsia="等线" w:cs="宋体"/>
      <w:color w:val="000000"/>
      <w:kern w:val="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1014</Words>
  <Characters>5782</Characters>
  <Lines>48</Lines>
  <Paragraphs>13</Paragraphs>
  <TotalTime>2</TotalTime>
  <ScaleCrop>false</ScaleCrop>
  <LinksUpToDate>false</LinksUpToDate>
  <CharactersWithSpaces>6783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付正</cp:lastModifiedBy>
  <dcterms:modified xsi:type="dcterms:W3CDTF">2021-12-19T11:15:40Z</dcterms:modified>
  <cp:revision>1331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4AF06E7B42CE4CAB8FAF02AE9A01CC48</vt:lpwstr>
  </property>
</Properties>
</file>