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隶书" w:hAnsi="宋体" w:eastAsia="隶书"/>
          <w:bCs/>
          <w:color w:val="000000"/>
          <w:sz w:val="40"/>
          <w:szCs w:val="40"/>
        </w:rPr>
      </w:pPr>
      <w:r>
        <w:rPr>
          <w:rFonts w:hint="eastAsia" w:ascii="隶书" w:hAnsi="宋体" w:eastAsia="隶书"/>
          <w:bCs/>
          <w:color w:val="000000"/>
          <w:sz w:val="40"/>
          <w:szCs w:val="40"/>
        </w:rPr>
        <w:t>管理体系审核记录表</w:t>
      </w:r>
    </w:p>
    <w:tbl>
      <w:tblPr>
        <w:tblStyle w:val="7"/>
        <w:tblW w:w="49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026"/>
        <w:gridCol w:w="9968"/>
        <w:gridCol w:w="1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960"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涉及</w:t>
            </w:r>
          </w:p>
          <w:p>
            <w:pPr>
              <w:jc w:val="center"/>
              <w:rPr>
                <w:rFonts w:ascii="楷体" w:hAnsi="楷体" w:eastAsia="楷体"/>
              </w:rPr>
            </w:pPr>
            <w:r>
              <w:rPr>
                <w:rFonts w:hint="eastAsia" w:ascii="楷体" w:hAnsi="楷体" w:eastAsia="楷体"/>
                <w:sz w:val="24"/>
                <w:szCs w:val="24"/>
              </w:rPr>
              <w:t>条款</w:t>
            </w:r>
          </w:p>
        </w:tc>
        <w:tc>
          <w:tcPr>
            <w:tcW w:w="10004" w:type="dxa"/>
            <w:tcBorders>
              <w:top w:val="single" w:color="auto" w:sz="8" w:space="0"/>
              <w:bottom w:val="single" w:color="auto" w:sz="4" w:space="0"/>
            </w:tcBorders>
            <w:vAlign w:val="center"/>
          </w:tcPr>
          <w:p>
            <w:pPr>
              <w:rPr>
                <w:rFonts w:ascii="楷体" w:hAnsi="楷体" w:eastAsia="楷体"/>
                <w:sz w:val="24"/>
                <w:szCs w:val="24"/>
              </w:rPr>
            </w:pPr>
            <w:r>
              <w:rPr>
                <w:rFonts w:hint="eastAsia" w:ascii="楷体" w:hAnsi="楷体" w:eastAsia="楷体"/>
                <w:sz w:val="24"/>
                <w:szCs w:val="24"/>
              </w:rPr>
              <w:t>受审核部门：管理层、员工代表</w:t>
            </w:r>
            <w:bookmarkStart w:id="1" w:name="_GoBack"/>
            <w:bookmarkEnd w:id="1"/>
          </w:p>
          <w:p>
            <w:pPr>
              <w:rPr>
                <w:rFonts w:ascii="楷体" w:hAnsi="楷体" w:eastAsia="楷体"/>
                <w:sz w:val="24"/>
                <w:szCs w:val="24"/>
              </w:rPr>
            </w:pPr>
            <w:r>
              <w:rPr>
                <w:rFonts w:hint="eastAsia" w:ascii="楷体" w:hAnsi="楷体" w:eastAsia="楷体"/>
                <w:sz w:val="24"/>
                <w:szCs w:val="24"/>
              </w:rPr>
              <w:t>主管领导：陈建阳（总经理）、林森泉（管理者代表）、陈建辉（安全事务代表）</w:t>
            </w:r>
          </w:p>
          <w:p>
            <w:pPr>
              <w:rPr>
                <w:rFonts w:ascii="楷体" w:hAnsi="楷体" w:eastAsia="楷体"/>
                <w:sz w:val="24"/>
                <w:szCs w:val="24"/>
              </w:rPr>
            </w:pPr>
            <w:r>
              <w:rPr>
                <w:rFonts w:hint="eastAsia" w:ascii="楷体" w:hAnsi="楷体" w:eastAsia="楷体"/>
                <w:sz w:val="24"/>
                <w:szCs w:val="24"/>
              </w:rPr>
              <w:t xml:space="preserve">陪同人员：林森泉 </w:t>
            </w:r>
          </w:p>
        </w:tc>
        <w:tc>
          <w:tcPr>
            <w:tcW w:w="1585"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Merge w:val="continue"/>
            <w:tcBorders>
              <w:top w:val="single" w:color="auto" w:sz="4" w:space="0"/>
              <w:bottom w:val="single" w:color="auto" w:sz="4" w:space="0"/>
            </w:tcBorders>
            <w:vAlign w:val="center"/>
          </w:tcPr>
          <w:p/>
        </w:tc>
        <w:tc>
          <w:tcPr>
            <w:tcW w:w="960" w:type="dxa"/>
            <w:vMerge w:val="continue"/>
            <w:tcBorders>
              <w:top w:val="single" w:color="auto" w:sz="4" w:space="0"/>
              <w:bottom w:val="single" w:color="auto" w:sz="4" w:space="0"/>
            </w:tcBorders>
            <w:vAlign w:val="center"/>
          </w:tcPr>
          <w:p/>
        </w:tc>
        <w:tc>
          <w:tcPr>
            <w:tcW w:w="10004" w:type="dxa"/>
            <w:tcBorders>
              <w:top w:val="single" w:color="auto" w:sz="4" w:space="0"/>
              <w:bottom w:val="single" w:color="auto" w:sz="4" w:space="0"/>
            </w:tcBorders>
            <w:vAlign w:val="center"/>
          </w:tcPr>
          <w:p>
            <w:pPr>
              <w:rPr>
                <w:rFonts w:ascii="楷体" w:hAnsi="楷体" w:eastAsia="楷体"/>
              </w:rPr>
            </w:pPr>
            <w:r>
              <w:rPr>
                <w:rFonts w:hint="eastAsia" w:ascii="楷体" w:hAnsi="楷体" w:eastAsia="楷体"/>
                <w:sz w:val="24"/>
                <w:szCs w:val="24"/>
              </w:rPr>
              <w:t xml:space="preserve">审核员：汪桂丽、宋翠琳（EO实习） </w:t>
            </w:r>
            <w:r>
              <w:rPr>
                <w:rFonts w:ascii="楷体" w:hAnsi="楷体" w:eastAsia="楷体"/>
                <w:sz w:val="24"/>
                <w:szCs w:val="24"/>
              </w:rPr>
              <w:t xml:space="preserve">  </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审核时间：</w:t>
            </w:r>
            <w:r>
              <w:rPr>
                <w:rFonts w:ascii="楷体" w:hAnsi="楷体" w:eastAsia="楷体"/>
                <w:sz w:val="24"/>
                <w:szCs w:val="24"/>
              </w:rPr>
              <w:t xml:space="preserve">2021.12.13  </w:t>
            </w:r>
          </w:p>
        </w:tc>
        <w:tc>
          <w:tcPr>
            <w:tcW w:w="1585" w:type="dxa"/>
            <w:vMerge w:val="continue"/>
            <w:tcBorders>
              <w:top w:val="single" w:color="auto" w:sz="4" w:space="0"/>
              <w:bottom w:val="single" w:color="auto" w:sz="4"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160" w:type="dxa"/>
            <w:vMerge w:val="continue"/>
            <w:tcBorders>
              <w:top w:val="single" w:color="auto" w:sz="4" w:space="0"/>
              <w:bottom w:val="single" w:color="auto" w:sz="8" w:space="0"/>
            </w:tcBorders>
            <w:vAlign w:val="center"/>
          </w:tcPr>
          <w:p/>
        </w:tc>
        <w:tc>
          <w:tcPr>
            <w:tcW w:w="960" w:type="dxa"/>
            <w:vMerge w:val="continue"/>
            <w:tcBorders>
              <w:top w:val="single" w:color="auto" w:sz="4" w:space="0"/>
              <w:bottom w:val="single" w:color="auto" w:sz="8" w:space="0"/>
            </w:tcBorders>
            <w:vAlign w:val="center"/>
          </w:tcPr>
          <w:p/>
        </w:tc>
        <w:tc>
          <w:tcPr>
            <w:tcW w:w="10004" w:type="dxa"/>
            <w:tcBorders>
              <w:top w:val="single" w:color="auto" w:sz="4" w:space="0"/>
              <w:bottom w:val="single" w:color="auto" w:sz="8" w:space="0"/>
            </w:tcBorders>
            <w:vAlign w:val="center"/>
          </w:tcPr>
          <w:p>
            <w:pPr>
              <w:adjustRightInd w:val="0"/>
              <w:snapToGrid w:val="0"/>
              <w:spacing w:line="240" w:lineRule="exact"/>
              <w:ind w:right="105" w:rightChars="50"/>
              <w:jc w:val="left"/>
              <w:textAlignment w:val="baseline"/>
              <w:rPr>
                <w:rFonts w:hint="eastAsia" w:ascii="宋体" w:hAnsi="宋体" w:eastAsia="宋体" w:cs="Arial"/>
                <w:spacing w:val="-6"/>
                <w:sz w:val="21"/>
                <w:szCs w:val="21"/>
                <w:lang w:eastAsia="zh-CN"/>
              </w:rPr>
            </w:pPr>
            <w:r>
              <w:rPr>
                <w:rFonts w:hint="eastAsia" w:ascii="楷体" w:hAnsi="楷体" w:eastAsia="楷体"/>
                <w:sz w:val="24"/>
                <w:szCs w:val="24"/>
              </w:rPr>
              <w:t>审核条款：</w:t>
            </w:r>
            <w:r>
              <w:rPr>
                <w:rFonts w:hint="eastAsia" w:ascii="宋体" w:hAnsi="宋体" w:cs="Arial"/>
                <w:b/>
                <w:bCs w:val="0"/>
                <w:spacing w:val="-6"/>
                <w:sz w:val="21"/>
                <w:szCs w:val="21"/>
              </w:rPr>
              <w:t>QEO:</w:t>
            </w:r>
            <w:r>
              <w:rPr>
                <w:rFonts w:hint="eastAsia" w:ascii="宋体" w:hAnsi="宋体" w:cs="Arial"/>
                <w:spacing w:val="-6"/>
                <w:sz w:val="21"/>
                <w:szCs w:val="21"/>
              </w:rPr>
              <w:t>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r>
              <w:rPr>
                <w:rFonts w:hint="eastAsia" w:ascii="宋体" w:hAnsi="宋体" w:cs="Arial"/>
                <w:spacing w:val="-6"/>
                <w:sz w:val="21"/>
                <w:szCs w:val="21"/>
                <w:lang w:eastAsia="zh-CN"/>
              </w:rPr>
              <w:t>；</w:t>
            </w:r>
          </w:p>
          <w:p>
            <w:r>
              <w:rPr>
                <w:rFonts w:hint="eastAsia" w:ascii="宋体" w:hAnsi="宋体" w:cs="Arial"/>
                <w:spacing w:val="-6"/>
                <w:sz w:val="21"/>
                <w:szCs w:val="21"/>
              </w:rPr>
              <w:t>国家/地方监督抽查情况；顾客满意、相关方投诉及处理情况；</w:t>
            </w:r>
            <w:r>
              <w:rPr>
                <w:rFonts w:hint="eastAsia" w:ascii="宋体" w:hAnsi="宋体" w:cs="Arial"/>
                <w:spacing w:val="-6"/>
                <w:sz w:val="21"/>
                <w:szCs w:val="21"/>
                <w:lang w:val="en-US" w:eastAsia="zh-CN"/>
              </w:rPr>
              <w:t>前期</w:t>
            </w:r>
            <w:r>
              <w:rPr>
                <w:rFonts w:hint="eastAsia" w:ascii="宋体" w:hAnsi="宋体" w:cs="Arial"/>
                <w:spacing w:val="-6"/>
                <w:sz w:val="21"/>
                <w:szCs w:val="21"/>
              </w:rPr>
              <w:t>问题验证，验证企业相关资质证明的有效性；</w:t>
            </w:r>
          </w:p>
        </w:tc>
        <w:tc>
          <w:tcPr>
            <w:tcW w:w="1585" w:type="dxa"/>
            <w:vMerge w:val="continue"/>
            <w:tcBorders>
              <w:top w:val="single" w:color="auto" w:sz="4" w:space="0"/>
              <w:bottom w:val="single" w:color="auto" w:sz="8"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Borders>
              <w:top w:val="single" w:color="auto" w:sz="8" w:space="0"/>
            </w:tcBorders>
          </w:tcPr>
          <w:p>
            <w:pPr>
              <w:rPr>
                <w:rFonts w:ascii="宋体" w:hAnsi="宋体" w:cs="Arial"/>
                <w:szCs w:val="21"/>
              </w:rPr>
            </w:pPr>
            <w:r>
              <w:rPr>
                <w:rFonts w:hint="eastAsia" w:ascii="宋体" w:hAnsi="宋体" w:cs="Arial"/>
                <w:szCs w:val="21"/>
              </w:rPr>
              <w:t>理解组织及其环境</w:t>
            </w:r>
          </w:p>
        </w:tc>
        <w:tc>
          <w:tcPr>
            <w:tcW w:w="960" w:type="dxa"/>
            <w:tcBorders>
              <w:top w:val="single" w:color="auto" w:sz="8" w:space="0"/>
            </w:tcBorders>
          </w:tcPr>
          <w:p>
            <w:pPr>
              <w:rPr>
                <w:rFonts w:ascii="宋体" w:hAnsi="宋体" w:cs="Arial"/>
                <w:szCs w:val="21"/>
              </w:rPr>
            </w:pPr>
            <w:r>
              <w:rPr>
                <w:rFonts w:hint="eastAsia" w:ascii="宋体" w:hAnsi="宋体" w:cs="Arial"/>
                <w:szCs w:val="21"/>
              </w:rPr>
              <w:t>4.1</w:t>
            </w:r>
          </w:p>
        </w:tc>
        <w:tc>
          <w:tcPr>
            <w:tcW w:w="10004" w:type="dxa"/>
            <w:tcBorders>
              <w:top w:val="single" w:color="auto" w:sz="8" w:space="0"/>
            </w:tcBorders>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公司总经理陈建阳说明了本公司目前所处的内、外部环境情况：</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——公司通过各部门收集信息、识别、分析和评价，公司管理会议讨论研究等方式，确定了与公司目标和战略方向相关的各种外部、内部因素；</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——公司外部环境主要包括国际、国内、地区和本地的各种法律法规、技术、竞争对手、市场变动和价格、文化、社会和经济因素；</w:t>
            </w:r>
          </w:p>
          <w:p>
            <w:pPr>
              <w:ind w:firstLine="480" w:firstLineChars="200"/>
              <w:jc w:val="left"/>
              <w:rPr>
                <w:rFonts w:ascii="宋体" w:hAnsi="宋体" w:cs="Arial"/>
                <w:szCs w:val="21"/>
              </w:rPr>
            </w:pPr>
            <w:r>
              <w:rPr>
                <w:rFonts w:hint="eastAsia" w:ascii="宋体" w:hAnsi="宋体" w:eastAsia="宋体" w:cs="宋体"/>
                <w:bCs/>
                <w:color w:val="000000"/>
                <w:spacing w:val="10"/>
                <w:kern w:val="2"/>
                <w:sz w:val="22"/>
                <w:szCs w:val="22"/>
                <w:lang w:val="en-US" w:eastAsia="zh-CN" w:bidi="ar-SA"/>
              </w:rPr>
              <w:t>——公司内部环境主要企业的价值观、文化、知识和以往绩效等相关因素，包括需要考虑的有利和不利因素或条件。</w:t>
            </w:r>
          </w:p>
        </w:tc>
        <w:tc>
          <w:tcPr>
            <w:tcW w:w="1585" w:type="dxa"/>
            <w:tcBorders>
              <w:top w:val="single" w:color="auto" w:sz="8" w:space="0"/>
            </w:tcBorders>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rPr>
                <w:rFonts w:ascii="宋体" w:hAnsi="宋体" w:cs="Arial"/>
                <w:szCs w:val="21"/>
              </w:rPr>
            </w:pPr>
            <w:r>
              <w:rPr>
                <w:rFonts w:hint="eastAsia" w:ascii="宋体" w:hAnsi="宋体" w:cs="Arial"/>
                <w:szCs w:val="21"/>
              </w:rPr>
              <w:t>理解相关方的需求和期望</w:t>
            </w:r>
          </w:p>
        </w:tc>
        <w:tc>
          <w:tcPr>
            <w:tcW w:w="960" w:type="dxa"/>
          </w:tcPr>
          <w:p>
            <w:pPr>
              <w:rPr>
                <w:rFonts w:ascii="宋体" w:hAnsi="宋体" w:cs="Arial"/>
                <w:szCs w:val="21"/>
              </w:rPr>
            </w:pPr>
            <w:r>
              <w:rPr>
                <w:rFonts w:hint="eastAsia" w:ascii="宋体" w:hAnsi="宋体" w:cs="Arial"/>
                <w:szCs w:val="21"/>
              </w:rPr>
              <w:t>4.2</w:t>
            </w:r>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公司总经理陈建阳说明公司相关方包括：客户（最终使用者以及直接客户）、供方、委托方、员工（包括管理者）、政府部门，以及其他人员。</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公司各负责部门建立了相应管理文件，分别对相关方的需求及期望进行识别确认，并对这类需求及要求等进行管理及定期更新，保持有效性。各负责部门按控制措施执行，满足这些相关方需求和期望，没有发生相关方投诉现象。 </w:t>
            </w:r>
          </w:p>
          <w:p>
            <w:pPr>
              <w:ind w:firstLine="480" w:firstLineChars="200"/>
              <w:jc w:val="left"/>
            </w:pPr>
            <w:r>
              <w:rPr>
                <w:rFonts w:hint="eastAsia" w:ascii="宋体" w:hAnsi="宋体" w:eastAsia="宋体" w:cs="宋体"/>
                <w:bCs/>
                <w:color w:val="000000"/>
                <w:spacing w:val="10"/>
                <w:kern w:val="2"/>
                <w:sz w:val="22"/>
                <w:szCs w:val="22"/>
                <w:lang w:val="en-US" w:eastAsia="zh-CN" w:bidi="ar-SA"/>
              </w:rPr>
              <w:t>公司重新识别、收集了适用的法律法规及其他相关要求并形成清单，其中，环境法律法规30项、职业健康安全法律法规46项。公司于2021年09月25日，就本公司环境、职业健康安全管理体系运行过程中，应当遵循的国家环境保护、安全防护法律法规的承诺状况进行了评价。提供了评价记录和报告，评价结论：</w:t>
            </w:r>
            <w:r>
              <w:rPr>
                <w:rFonts w:hint="eastAsia"/>
                <w:u w:val="wave"/>
              </w:rPr>
              <w:t>公司对环境因素和危险源的控制活动能够遵循相关法律法规要求，无违反法律法规现象的发生</w:t>
            </w:r>
            <w:r>
              <w:rPr>
                <w:rFonts w:hint="eastAsia"/>
              </w:rPr>
              <w:t>。</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rPr>
                <w:rFonts w:ascii="宋体" w:hAnsi="宋体" w:cs="Arial"/>
                <w:szCs w:val="21"/>
                <w:lang w:val="en-GB"/>
              </w:rPr>
            </w:pPr>
            <w:r>
              <w:rPr>
                <w:rFonts w:hint="eastAsia" w:ascii="宋体" w:hAnsi="宋体" w:cs="Arial"/>
                <w:szCs w:val="21"/>
              </w:rPr>
              <w:t>确定质量环境</w:t>
            </w:r>
            <w:r>
              <w:rPr>
                <w:rFonts w:hint="eastAsia" w:ascii="宋体" w:hAnsi="宋体" w:cs="Arial"/>
                <w:szCs w:val="21"/>
                <w:lang w:val="en-GB"/>
              </w:rPr>
              <w:t>职业健康安全</w:t>
            </w:r>
            <w:r>
              <w:rPr>
                <w:rFonts w:hint="eastAsia" w:ascii="宋体" w:hAnsi="宋体" w:cs="Arial"/>
                <w:szCs w:val="21"/>
              </w:rPr>
              <w:t xml:space="preserve">管理体系的范围 </w:t>
            </w:r>
          </w:p>
          <w:p/>
        </w:tc>
        <w:tc>
          <w:tcPr>
            <w:tcW w:w="960" w:type="dxa"/>
          </w:tcPr>
          <w:p>
            <w:pPr>
              <w:rPr>
                <w:rFonts w:ascii="宋体" w:hAnsi="宋体" w:cs="Arial"/>
                <w:szCs w:val="21"/>
              </w:rPr>
            </w:pPr>
            <w:r>
              <w:rPr>
                <w:rFonts w:hint="eastAsia" w:ascii="宋体" w:hAnsi="宋体" w:cs="Arial"/>
                <w:szCs w:val="21"/>
              </w:rPr>
              <w:t xml:space="preserve">4.3 </w:t>
            </w:r>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公司在确定管理体系范围时公司考虑了以下内容：各种内部和外部因素；相关方的要求，相关合规义务；组织的活动、产品和服务等；</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公司位于在福建省泉州市惠安县东桥镇屿头山村屿头959号。</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公司的部门设置包括：管理层、业务部、综合部；</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公司管理体系范围为：</w:t>
            </w:r>
          </w:p>
          <w:p>
            <w:pPr>
              <w:ind w:firstLine="480" w:firstLineChars="200"/>
              <w:jc w:val="left"/>
              <w:rPr>
                <w:rFonts w:hint="eastAsia" w:ascii="宋体" w:hAnsi="宋体" w:eastAsia="宋体" w:cs="宋体"/>
                <w:bCs/>
                <w:color w:val="000000"/>
                <w:spacing w:val="10"/>
                <w:kern w:val="2"/>
                <w:sz w:val="22"/>
                <w:szCs w:val="22"/>
                <w:lang w:val="en-US" w:eastAsia="zh-CN" w:bidi="ar-SA"/>
              </w:rPr>
            </w:pPr>
            <w:bookmarkStart w:id="0" w:name="审核范围"/>
            <w:r>
              <w:rPr>
                <w:rFonts w:hint="eastAsia" w:ascii="宋体" w:hAnsi="宋体" w:eastAsia="宋体" w:cs="宋体"/>
                <w:bCs/>
                <w:color w:val="000000"/>
                <w:spacing w:val="10"/>
                <w:kern w:val="2"/>
                <w:sz w:val="22"/>
                <w:szCs w:val="22"/>
                <w:lang w:val="en-US" w:eastAsia="zh-CN" w:bidi="ar-SA"/>
              </w:rPr>
              <w:t>Q：石材制品、石雕工艺品、墓碑的销售（法规强制要求范围除外）；</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E：石材制品、石雕工艺品、墓碑的销售（法规强制要求范围除外）及其所涉及的相关环境管理活动；</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O：石材制品、石雕工艺品、墓碑的销售（法规强制要求范围除外）及其所涉及的职业健康安全相关管理活动。</w:t>
            </w:r>
          </w:p>
          <w:bookmarkEnd w:id="0"/>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不适用条款情况：删减质量管理体系8.3条款，理由：一是公司按国家及行业标准、客户要求（样品）提供销售服务，无设计和开发过程；二是不适用的要求不影响组织确保产品和服务合格的能力或责任，对增强顾客满意度也不会产生影响。</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外包过程：物流过程外包。</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rPr>
                <w:rFonts w:ascii="宋体" w:hAnsi="宋体" w:cs="Arial"/>
                <w:szCs w:val="21"/>
              </w:rPr>
            </w:pPr>
            <w:r>
              <w:rPr>
                <w:rFonts w:hint="eastAsia" w:ascii="宋体" w:hAnsi="宋体" w:cs="Arial"/>
                <w:szCs w:val="21"/>
              </w:rPr>
              <w:t>质量、环境 、职业健康安全管理体系及其过程</w:t>
            </w:r>
          </w:p>
          <w:p/>
        </w:tc>
        <w:tc>
          <w:tcPr>
            <w:tcW w:w="960" w:type="dxa"/>
          </w:tcPr>
          <w:p>
            <w:pPr>
              <w:rPr>
                <w:rFonts w:ascii="宋体" w:hAnsi="宋体" w:cs="Arial"/>
                <w:szCs w:val="21"/>
              </w:rPr>
            </w:pPr>
            <w:r>
              <w:rPr>
                <w:rFonts w:hint="eastAsia" w:ascii="宋体" w:hAnsi="宋体" w:cs="Arial"/>
                <w:szCs w:val="21"/>
              </w:rPr>
              <w:t xml:space="preserve">4.4 </w:t>
            </w:r>
          </w:p>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公司在建立并保持质量、环境和职业健康安全管理体系时，考虑了标准4.1和4.2获得的知识并已形成文件化信息要求；</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公司确定体系的目标和实现这些目标所需的过程；明确了为管理过程确定职责、权限和义务；</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确定了组织的能力及预先确定资源约束条件；确定了过程相互依赖的关系，分析了个别过程的变更对整个体系的影响；</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公司为确保获得必要的信息，以运行和改进过程并监视、分析和评价整个体系的绩效；</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明确了管理可能影响过程输出和管理体系整体结果的风险；其中包括确定了管理体系范围、组织结构图、销售服务的过程/能力、绩效指标的确定、风险及机遇的识别、职责和权限的公示、识别了变更对过程的影响、及体系应获取的资源、提供了内审和管理评审的实施情况等。</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查近一年来，体系基本没有变更的情况。</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r>
              <w:rPr>
                <w:rFonts w:hint="eastAsia" w:ascii="宋体" w:hAnsi="宋体" w:cs="宋体"/>
                <w:szCs w:val="21"/>
              </w:rPr>
              <w:t>领导作用与承诺——总则</w:t>
            </w:r>
          </w:p>
        </w:tc>
        <w:tc>
          <w:tcPr>
            <w:tcW w:w="960" w:type="dxa"/>
          </w:tcPr>
          <w:p>
            <w:pPr>
              <w:rPr>
                <w:rFonts w:ascii="宋体" w:hAnsi="宋体" w:cs="宋体"/>
                <w:szCs w:val="21"/>
              </w:rPr>
            </w:pPr>
            <w:r>
              <w:rPr>
                <w:rFonts w:hint="eastAsia" w:ascii="宋体" w:hAnsi="宋体" w:cs="宋体"/>
                <w:szCs w:val="21"/>
              </w:rPr>
              <w:t>5.1</w:t>
            </w:r>
          </w:p>
          <w:p>
            <w:pPr>
              <w:rPr>
                <w:rFonts w:ascii="宋体" w:hAnsi="宋体" w:cs="宋体"/>
                <w:szCs w:val="21"/>
              </w:rPr>
            </w:pPr>
            <w:r>
              <w:rPr>
                <w:rFonts w:hint="eastAsia" w:ascii="宋体" w:hAnsi="宋体" w:cs="宋体"/>
                <w:szCs w:val="21"/>
              </w:rPr>
              <w:t>5.1.1</w:t>
            </w:r>
          </w:p>
          <w:p/>
        </w:tc>
        <w:tc>
          <w:tcPr>
            <w:tcW w:w="10004" w:type="dxa"/>
            <w:vAlign w:val="center"/>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公司的管理承诺主要有：</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a）建立公司质量/环境/职业健康安全管理方针，在相关职能、层次、过程上建立公司管理目标，并确保方针目标与组织的战略方向保持一致并在公司内得到理解和实施；</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b）建立公司培训体系，提高全体员工过程方法的意识，传达有效的体系管理以及满足管 理体系、产品要求、环境、职业健康安全符合要求的重要性;</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c）建立合理的公司组织结构，确保管理体系所需资源能被获得； </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d）建立有效的沟通渠道，吸纳、指导和支持员工参与对公司管理体系的有效性作出贡献，强体系持续改进和创新；</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e）管理岗位职责权限的确认，以支持其他管理者在其负责领域证实其领导作用； </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f）定期进行管理评审，以确保体系持续有效、持续改进。</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公司通过会议、培训等形式要求员工理解公司的方针和目标，以及遵守法律法规的重要性及顾客满意的重要性，并形成制度化，规定了定期检查落实的情况，并有具体要求。</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公司对全体员工进行了产品质量以及顾客关注焦点的宣传和培训，制定了管理文件和管理目标并按规定进行了管理评审，管理体系基本得到了落实。</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管理层通过制定方针和目标并通过会议、培训等形式要求员工理解企业的方针目标以及传达守法经营及达到顾客满意的质量意识的重要性并形成制度化，强调企业实施管理体系的重要性。</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资源提供充分并通过定期进行管理评审发现过程中存在的问题并加以改进，承诺基本有效；</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公司管理承诺基本实现，无违反的情况发生。</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rPr>
                <w:rFonts w:ascii="宋体" w:hAnsi="宋体" w:cs="宋体"/>
                <w:szCs w:val="21"/>
              </w:rPr>
            </w:pPr>
            <w:r>
              <w:rPr>
                <w:rFonts w:hint="eastAsia" w:ascii="宋体" w:hAnsi="宋体" w:cs="宋体"/>
                <w:szCs w:val="21"/>
              </w:rPr>
              <w:t>以顾客为关注焦点</w:t>
            </w:r>
          </w:p>
        </w:tc>
        <w:tc>
          <w:tcPr>
            <w:tcW w:w="960" w:type="dxa"/>
          </w:tcPr>
          <w:p>
            <w:pPr>
              <w:rPr>
                <w:rFonts w:ascii="宋体" w:hAnsi="宋体" w:cs="宋体"/>
                <w:szCs w:val="21"/>
              </w:rPr>
            </w:pPr>
            <w:r>
              <w:rPr>
                <w:rFonts w:hint="eastAsia" w:ascii="宋体" w:hAnsi="宋体" w:cs="宋体"/>
                <w:szCs w:val="21"/>
              </w:rPr>
              <w:t>5.1.2</w:t>
            </w:r>
          </w:p>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公司以顾客满意、环境因素、危险源为关注焦点，公司通过制度、培训、会议/文件要求确保得到全员关注：</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——公司准确识别和应对可能影响产品符合性、顾客满意度、环境因素、危险源的风险等；</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——公司确定了顾客要求、环境因素、危险源的管理要求并予以满足；</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——公司明确了相关法律法规要求，保持以稳定提供满足顾客和相关法规要求的产品为焦点；</w:t>
            </w:r>
          </w:p>
          <w:p>
            <w:pPr>
              <w:ind w:firstLine="480" w:firstLineChars="200"/>
              <w:jc w:val="left"/>
              <w:rPr>
                <w:rFonts w:ascii="宋体" w:hAnsi="宋体" w:cs="宋体"/>
                <w:szCs w:val="21"/>
              </w:rPr>
            </w:pPr>
            <w:r>
              <w:rPr>
                <w:rFonts w:hint="eastAsia" w:ascii="宋体" w:hAnsi="宋体" w:eastAsia="宋体" w:cs="宋体"/>
                <w:bCs/>
                <w:color w:val="000000"/>
                <w:spacing w:val="10"/>
                <w:kern w:val="2"/>
                <w:sz w:val="22"/>
                <w:szCs w:val="22"/>
                <w:lang w:val="en-US" w:eastAsia="zh-CN" w:bidi="ar-SA"/>
              </w:rPr>
              <w:t>——切实达到了以增强顾客满意、实现污染、安全预防为目的。</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rPr>
                <w:rFonts w:ascii="宋体" w:hAnsi="宋体" w:cs="宋体"/>
                <w:szCs w:val="21"/>
              </w:rPr>
            </w:pPr>
            <w:r>
              <w:rPr>
                <w:rFonts w:hint="eastAsia" w:ascii="宋体" w:hAnsi="宋体" w:cs="宋体"/>
                <w:szCs w:val="21"/>
              </w:rPr>
              <w:t>质量/环境/职业健康安全方针</w:t>
            </w:r>
          </w:p>
        </w:tc>
        <w:tc>
          <w:tcPr>
            <w:tcW w:w="960" w:type="dxa"/>
          </w:tcPr>
          <w:p>
            <w:pPr>
              <w:rPr>
                <w:rFonts w:ascii="宋体" w:hAnsi="宋体" w:cs="宋体"/>
                <w:szCs w:val="21"/>
              </w:rPr>
            </w:pPr>
            <w:r>
              <w:rPr>
                <w:rFonts w:hint="eastAsia" w:ascii="宋体" w:hAnsi="宋体" w:cs="宋体"/>
                <w:szCs w:val="21"/>
              </w:rPr>
              <w:t>5.2</w:t>
            </w:r>
          </w:p>
          <w:p>
            <w:pPr>
              <w:ind w:firstLine="420" w:firstLineChars="200"/>
              <w:rPr>
                <w:rFonts w:ascii="宋体" w:hAnsi="宋体" w:cs="宋体"/>
                <w:szCs w:val="21"/>
              </w:rPr>
            </w:pPr>
          </w:p>
        </w:tc>
        <w:tc>
          <w:tcPr>
            <w:tcW w:w="10004" w:type="dxa"/>
            <w:vAlign w:val="center"/>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公司管理方针为：</w:t>
            </w:r>
            <w:r>
              <w:rPr>
                <w:rFonts w:hint="eastAsia" w:ascii="宋体" w:hAnsi="宋体" w:eastAsia="宋体" w:cs="宋体"/>
                <w:bCs/>
                <w:color w:val="000000"/>
                <w:spacing w:val="10"/>
                <w:kern w:val="2"/>
                <w:sz w:val="22"/>
                <w:szCs w:val="22"/>
                <w:u w:val="single"/>
                <w:lang w:val="en-US" w:eastAsia="zh-CN" w:bidi="ar-SA"/>
              </w:rPr>
              <w:t>诚信为本、客户至上、互惠互利；开拓创新、专业执着、精益求精。</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公司以质量、环境、职业健康安全标准为基础结合公司实际特制定管理方针。与公司总经理陈建阳交谈，其对方针内涵的理解较深刻。方针能为制定目标提供框架，方针基本符合标准的要求。</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总经理用会议、文件等方法确保管理方针为全体员工理解并落实到工作中，通过管理评审时对方针的持续适宜性进行了评审，有评审记录。</w:t>
            </w:r>
          </w:p>
          <w:p>
            <w:pPr>
              <w:ind w:firstLine="480" w:firstLineChars="200"/>
              <w:jc w:val="left"/>
              <w:rPr>
                <w:rFonts w:ascii="宋体" w:hAnsi="宋体" w:cs="宋体"/>
                <w:szCs w:val="21"/>
              </w:rPr>
            </w:pPr>
            <w:r>
              <w:rPr>
                <w:rFonts w:hint="eastAsia" w:ascii="宋体" w:hAnsi="宋体" w:eastAsia="宋体" w:cs="宋体"/>
                <w:bCs/>
                <w:color w:val="000000"/>
                <w:spacing w:val="10"/>
                <w:kern w:val="2"/>
                <w:sz w:val="22"/>
                <w:szCs w:val="22"/>
                <w:lang w:val="en-US" w:eastAsia="zh-CN" w:bidi="ar-SA"/>
              </w:rPr>
              <w:t>以上管理方针通过文件、培训等形式将公司管理方针传达给所有为公司工作或代表公司的人员，相关方也可通过相关部门获取公司管理方针。</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szCs w:val="21"/>
              </w:rPr>
            </w:pPr>
            <w:r>
              <w:rPr>
                <w:rFonts w:hint="eastAsia" w:ascii="宋体" w:hAnsi="宋体" w:cs="宋体"/>
                <w:szCs w:val="21"/>
              </w:rPr>
              <w:t>组织的岗位、职责和权限</w:t>
            </w:r>
          </w:p>
          <w:p>
            <w:pPr>
              <w:ind w:firstLine="420" w:firstLineChars="200"/>
              <w:jc w:val="left"/>
            </w:pPr>
          </w:p>
        </w:tc>
        <w:tc>
          <w:tcPr>
            <w:tcW w:w="960" w:type="dxa"/>
          </w:tcPr>
          <w:p>
            <w:pPr>
              <w:rPr>
                <w:rFonts w:ascii="宋体" w:hAnsi="宋体" w:cs="宋体"/>
                <w:szCs w:val="21"/>
              </w:rPr>
            </w:pPr>
            <w:r>
              <w:rPr>
                <w:rFonts w:hint="eastAsia" w:ascii="宋体" w:hAnsi="宋体" w:cs="宋体"/>
                <w:szCs w:val="21"/>
              </w:rPr>
              <w:t xml:space="preserve">5.3 </w:t>
            </w:r>
          </w:p>
        </w:tc>
        <w:tc>
          <w:tcPr>
            <w:tcW w:w="10004" w:type="dxa"/>
            <w:vAlign w:val="center"/>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公司确定组织机构，并提供了组织机构图，规定了各部门、各岗位人员职责、权限和相互关系；</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为建立、实施和保持公司管理体系所需的过程，公司任命林森泉为管理体系的管理者代表，推选陈建辉为安全事务代表。</w:t>
            </w:r>
          </w:p>
          <w:p>
            <w:pPr>
              <w:ind w:firstLine="480" w:firstLineChars="200"/>
              <w:jc w:val="left"/>
              <w:rPr>
                <w:rFonts w:ascii="宋体" w:hAnsi="宋体" w:cs="宋体"/>
                <w:szCs w:val="21"/>
              </w:rPr>
            </w:pPr>
            <w:r>
              <w:rPr>
                <w:rFonts w:hint="eastAsia" w:ascii="宋体" w:hAnsi="宋体" w:eastAsia="宋体" w:cs="宋体"/>
                <w:bCs/>
                <w:color w:val="000000"/>
                <w:spacing w:val="10"/>
                <w:kern w:val="2"/>
                <w:sz w:val="22"/>
                <w:szCs w:val="22"/>
                <w:lang w:val="en-US" w:eastAsia="zh-CN" w:bidi="ar-SA"/>
              </w:rPr>
              <w:t>与管代交流明确其职责和权限：确保本公司管理体系所需的过程得到建立、实施和保持；向全体员工倡导以顾客为中心的质量理念、环境、职业健康安全风险的理念；对本公司质量/环境/职业健康安全管理体系运行过程进行监控；组织展开质量/环境/职业健康安全管理体系内部审核；向最高管理层报告质量/环境/职业健康安全管理体系的绩效和改进需求；就质量/环境/职业健康安全管理体系有关的外部事项联络；由最高管理者授权的质量/环境/职业健康安全体系的其他管理事宜等。</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szCs w:val="21"/>
              </w:rPr>
            </w:pPr>
            <w:r>
              <w:rPr>
                <w:rFonts w:hint="eastAsia" w:ascii="宋体" w:hAnsi="宋体" w:cs="宋体"/>
                <w:szCs w:val="21"/>
              </w:rPr>
              <w:t>协商与参与</w:t>
            </w:r>
          </w:p>
          <w:p>
            <w:pPr>
              <w:ind w:firstLine="420" w:firstLineChars="200"/>
              <w:jc w:val="left"/>
            </w:pPr>
          </w:p>
        </w:tc>
        <w:tc>
          <w:tcPr>
            <w:tcW w:w="960" w:type="dxa"/>
          </w:tcPr>
          <w:p>
            <w:pPr>
              <w:jc w:val="left"/>
              <w:rPr>
                <w:rFonts w:ascii="宋体" w:hAnsi="宋体" w:cs="宋体"/>
                <w:szCs w:val="21"/>
              </w:rPr>
            </w:pPr>
            <w:r>
              <w:rPr>
                <w:rFonts w:hint="eastAsia" w:ascii="宋体" w:hAnsi="宋体" w:cs="宋体"/>
                <w:szCs w:val="21"/>
              </w:rPr>
              <w:t xml:space="preserve">O 5.4 </w:t>
            </w:r>
          </w:p>
          <w:p>
            <w:pPr>
              <w:ind w:firstLine="420" w:firstLineChars="200"/>
              <w:jc w:val="left"/>
            </w:pPr>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设立了安全事务代表，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容。</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公司安全事务代表须经公司各部门会议选举，并正式公告。</w:t>
            </w:r>
          </w:p>
          <w:p>
            <w:pPr>
              <w:ind w:firstLine="480" w:firstLineChars="200"/>
              <w:jc w:val="left"/>
            </w:pPr>
            <w:r>
              <w:rPr>
                <w:rFonts w:hint="eastAsia" w:ascii="宋体" w:hAnsi="宋体" w:eastAsia="宋体" w:cs="宋体"/>
                <w:bCs/>
                <w:color w:val="000000"/>
                <w:spacing w:val="10"/>
                <w:kern w:val="2"/>
                <w:sz w:val="22"/>
                <w:szCs w:val="22"/>
                <w:lang w:val="en-US" w:eastAsia="zh-CN" w:bidi="ar-SA"/>
              </w:rPr>
              <w:t>与安全事务代表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szCs w:val="21"/>
              </w:rPr>
            </w:pPr>
            <w:r>
              <w:rPr>
                <w:rFonts w:hint="eastAsia" w:ascii="宋体" w:hAnsi="宋体" w:cs="宋体"/>
                <w:szCs w:val="21"/>
              </w:rPr>
              <w:t>应对风险和机遇的措施</w:t>
            </w:r>
          </w:p>
          <w:p>
            <w:pPr>
              <w:jc w:val="left"/>
            </w:pPr>
          </w:p>
        </w:tc>
        <w:tc>
          <w:tcPr>
            <w:tcW w:w="960" w:type="dxa"/>
          </w:tcPr>
          <w:p>
            <w:pPr>
              <w:jc w:val="left"/>
              <w:rPr>
                <w:rFonts w:ascii="宋体" w:hAnsi="宋体" w:cs="宋体"/>
                <w:szCs w:val="21"/>
              </w:rPr>
            </w:pPr>
            <w:r>
              <w:rPr>
                <w:rFonts w:hint="eastAsia" w:ascii="宋体" w:hAnsi="宋体" w:cs="宋体"/>
                <w:szCs w:val="21"/>
              </w:rPr>
              <w:t>6.1</w:t>
            </w:r>
          </w:p>
          <w:p>
            <w:pPr>
              <w:jc w:val="left"/>
            </w:pPr>
          </w:p>
        </w:tc>
        <w:tc>
          <w:tcPr>
            <w:tcW w:w="10004" w:type="dxa"/>
            <w:vAlign w:val="center"/>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制定并实施《风险和机遇控制程序》和《环境因素、危险源识别评价控制程序》，明确风险和机遇事件的识别方法/途径、风险和机遇事件的评估方式、制定主要风险和机遇事件的应对措施的要求、评价这些措施有效性的方法。</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查公司《风险和机遇控制清单》：</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2021年6月2日重新梳理了包括员工工资和原材料价格增长、产品更新换代快和客户转型、领先优势的取代、货款回收不及时、管理不规范导致管理费用增加、火灾、自然灾害的损失等、业务和采购等人员不能完全满足所有项目的要求、产品质量依赖供应商、批量成本较高、销售模式需要优化、高端客户群的服务要求比较复杂、对终端客户总体响应时间较长等13个方面的风险；还包括公司处于比较领先位置、质量具有优势、被取代的公司较少、行业持续发展、地理位置优越、公司订单处于逐步递增状态等6个方面的机遇。确定了影响范围、重要度、应对措施和控制目标等。</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  查公司《风险识别评估记录表》（2021年06月02日），其中对销售过程的4个环节的风险进行了识别、评价，并制定了应对措施和控制目标：</w:t>
            </w:r>
          </w:p>
          <w:p>
            <w:pPr>
              <w:pStyle w:val="2"/>
              <w:jc w:val="center"/>
              <w:rPr>
                <w:rFonts w:hint="eastAsia"/>
              </w:rPr>
            </w:pPr>
            <w:r>
              <w:drawing>
                <wp:inline distT="0" distB="0" distL="0" distR="0">
                  <wp:extent cx="5478780" cy="2642235"/>
                  <wp:effectExtent l="0" t="0" r="762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0839" cy="2643613"/>
                          </a:xfrm>
                          <a:prstGeom prst="rect">
                            <a:avLst/>
                          </a:prstGeom>
                        </pic:spPr>
                      </pic:pic>
                    </a:graphicData>
                  </a:graphic>
                </wp:inline>
              </w:drawing>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pPr>
            <w:r>
              <w:rPr>
                <w:rFonts w:hint="eastAsia" w:ascii="宋体" w:hAnsi="宋体" w:cs="宋体"/>
                <w:szCs w:val="21"/>
              </w:rPr>
              <w:t>质量/环境/职业健康安全目标及其实现的策划</w:t>
            </w:r>
          </w:p>
        </w:tc>
        <w:tc>
          <w:tcPr>
            <w:tcW w:w="960" w:type="dxa"/>
          </w:tcPr>
          <w:p>
            <w:pPr>
              <w:jc w:val="left"/>
            </w:pPr>
            <w:r>
              <w:rPr>
                <w:rFonts w:hint="eastAsia" w:ascii="宋体" w:hAnsi="宋体" w:cs="宋体"/>
                <w:szCs w:val="21"/>
              </w:rPr>
              <w:t>6.2</w:t>
            </w:r>
          </w:p>
        </w:tc>
        <w:tc>
          <w:tcPr>
            <w:tcW w:w="10004" w:type="dxa"/>
            <w:vAlign w:val="center"/>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公司制定并实施《方针、目标和管理方案控制程序》，对管理体系所需的相关职能、层次和过程设定质量/环境/职业健康安全管理目标。</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公司各专业管理目标包括：</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质量目标：1）商品符合合同要求，合格率达到95%及以上； </w:t>
            </w:r>
          </w:p>
          <w:p>
            <w:pPr>
              <w:ind w:firstLine="1680" w:firstLineChars="7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 xml:space="preserve">2）顾客满意度≥90分； </w:t>
            </w:r>
          </w:p>
          <w:p>
            <w:pPr>
              <w:ind w:firstLine="1680" w:firstLineChars="7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3）退货次数≤1次/月。</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环境目标：1）固体弃物有效处置率100％；</w:t>
            </w:r>
          </w:p>
          <w:p>
            <w:pPr>
              <w:ind w:firstLine="1680" w:firstLineChars="7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2）杜绝火灾事故；</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职业健康安全目标/指标：1）火灾、触电发生次数为0次/每年；</w:t>
            </w:r>
          </w:p>
          <w:p>
            <w:pPr>
              <w:ind w:firstLine="3331" w:firstLineChars="1388"/>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2）员工意外损伤控制在0次/每年；</w:t>
            </w:r>
          </w:p>
          <w:p>
            <w:pPr>
              <w:ind w:firstLine="3331" w:firstLineChars="1388"/>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3）重大交通事故不得发生。</w:t>
            </w:r>
          </w:p>
          <w:p>
            <w:pPr>
              <w:ind w:firstLine="480" w:firstLineChars="200"/>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公司对上述目标指标分解至各部门和层次，按月统计分析。提供的《2020-2021年管理目标完成统计表》中，本年度截至2021年11月30日，质量、环境、职业健康安全等管理目标均以实现。</w:t>
            </w:r>
          </w:p>
          <w:p>
            <w:pPr>
              <w:pStyle w:val="2"/>
              <w:rPr>
                <w:rFonts w:hint="eastAsia" w:ascii="宋体" w:hAnsi="宋体" w:cs="宋体"/>
                <w:szCs w:val="21"/>
              </w:rPr>
            </w:pPr>
          </w:p>
          <w:p>
            <w:pPr>
              <w:pStyle w:val="2"/>
              <w:rPr>
                <w:rFonts w:hint="eastAsia" w:ascii="宋体" w:hAnsi="宋体" w:cs="宋体"/>
                <w:szCs w:val="21"/>
              </w:rPr>
            </w:pPr>
          </w:p>
          <w:tbl>
            <w:tblPr>
              <w:tblStyle w:val="7"/>
              <w:tblpPr w:leftFromText="180" w:rightFromText="180" w:vertAnchor="text" w:horzAnchor="page" w:tblpX="-4201" w:tblpY="11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302"/>
              <w:gridCol w:w="891"/>
              <w:gridCol w:w="704"/>
              <w:gridCol w:w="554"/>
              <w:gridCol w:w="516"/>
              <w:gridCol w:w="516"/>
              <w:gridCol w:w="516"/>
              <w:gridCol w:w="516"/>
              <w:gridCol w:w="554"/>
              <w:gridCol w:w="516"/>
              <w:gridCol w:w="516"/>
              <w:gridCol w:w="516"/>
              <w:gridCol w:w="516"/>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责任  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KPI项目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10月</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顾客满意度≥90分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商品符合合同要求，合格率达到95%及以上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95%及以上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50"/>
                      <w:sz w:val="15"/>
                      <w:szCs w:val="15"/>
                      <w:u w:val="none"/>
                    </w:rPr>
                  </w:pPr>
                  <w:r>
                    <w:rPr>
                      <w:rFonts w:hint="eastAsia" w:ascii="宋体" w:hAnsi="宋体" w:eastAsia="宋体" w:cs="宋体"/>
                      <w:i w:val="0"/>
                      <w:iCs w:val="0"/>
                      <w:color w:val="00B05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固体弃物有效处置率100％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杜绝火灾事故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员工意外伤害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火灾、触电发生次数为0次/每年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员工意外损伤控制在0次/每年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重大交通事故不得发生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bl>
          <w:p>
            <w:pPr>
              <w:pStyle w:val="2"/>
              <w:rPr>
                <w:rFonts w:hint="eastAsia" w:ascii="宋体" w:hAnsi="宋体" w:cs="宋体"/>
                <w:szCs w:val="21"/>
              </w:rPr>
            </w:pPr>
          </w:p>
          <w:p>
            <w:pPr>
              <w:pStyle w:val="2"/>
              <w:rPr>
                <w:rFonts w:hint="eastAsia" w:ascii="宋体" w:hAnsi="宋体" w:cs="宋体"/>
                <w:szCs w:val="21"/>
              </w:rPr>
            </w:pPr>
          </w:p>
          <w:p>
            <w:pPr>
              <w:pStyle w:val="2"/>
              <w:rPr>
                <w:rFonts w:hint="eastAsia"/>
              </w:rPr>
            </w:pP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color w:val="000000"/>
                <w:sz w:val="22"/>
                <w:szCs w:val="22"/>
              </w:rPr>
            </w:pPr>
            <w:r>
              <w:rPr>
                <w:rFonts w:hint="eastAsia" w:ascii="宋体" w:hAnsi="宋体" w:cs="宋体"/>
                <w:color w:val="000000"/>
                <w:sz w:val="22"/>
                <w:szCs w:val="22"/>
              </w:rPr>
              <w:t>变更的策划</w:t>
            </w:r>
          </w:p>
          <w:p>
            <w:pPr>
              <w:jc w:val="left"/>
              <w:rPr>
                <w:rFonts w:ascii="宋体" w:hAnsi="宋体" w:cs="宋体"/>
                <w:color w:val="000000"/>
                <w:sz w:val="22"/>
                <w:szCs w:val="22"/>
              </w:rPr>
            </w:pPr>
          </w:p>
        </w:tc>
        <w:tc>
          <w:tcPr>
            <w:tcW w:w="960" w:type="dxa"/>
          </w:tcPr>
          <w:p>
            <w:pPr>
              <w:jc w:val="left"/>
              <w:rPr>
                <w:rFonts w:ascii="宋体" w:hAnsi="宋体" w:cs="宋体"/>
                <w:color w:val="000000"/>
                <w:sz w:val="22"/>
                <w:szCs w:val="22"/>
              </w:rPr>
            </w:pPr>
            <w:r>
              <w:rPr>
                <w:rFonts w:hint="eastAsia" w:ascii="宋体" w:hAnsi="宋体" w:cs="宋体"/>
                <w:color w:val="000000"/>
                <w:sz w:val="22"/>
                <w:szCs w:val="22"/>
              </w:rPr>
              <w:t xml:space="preserve">Q6.3 </w:t>
            </w:r>
          </w:p>
          <w:p>
            <w:pPr>
              <w:jc w:val="left"/>
              <w:rPr>
                <w:rFonts w:ascii="宋体" w:hAnsi="宋体" w:cs="宋体"/>
                <w:color w:val="000000"/>
                <w:sz w:val="22"/>
                <w:szCs w:val="22"/>
              </w:rPr>
            </w:pPr>
          </w:p>
        </w:tc>
        <w:tc>
          <w:tcPr>
            <w:tcW w:w="10004" w:type="dxa"/>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与公司总经理交流：公司在变更前考虑了变更目的及其潜在后果、管理体系的完整性、资源的可获得性以及相关部门和岗位的责任和权限的调整。</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本阶段体系无变更发生。</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color w:val="000000"/>
                <w:sz w:val="22"/>
                <w:szCs w:val="22"/>
              </w:rPr>
            </w:pPr>
            <w:r>
              <w:rPr>
                <w:rFonts w:hint="eastAsia" w:ascii="宋体" w:hAnsi="宋体" w:cs="宋体"/>
                <w:color w:val="000000"/>
                <w:sz w:val="22"/>
                <w:szCs w:val="22"/>
              </w:rPr>
              <w:t>资源——总则</w:t>
            </w:r>
          </w:p>
          <w:p>
            <w:pPr>
              <w:jc w:val="left"/>
              <w:rPr>
                <w:rFonts w:ascii="宋体" w:hAnsi="宋体" w:cs="宋体"/>
                <w:color w:val="000000"/>
                <w:sz w:val="22"/>
                <w:szCs w:val="22"/>
              </w:rPr>
            </w:pPr>
          </w:p>
        </w:tc>
        <w:tc>
          <w:tcPr>
            <w:tcW w:w="960" w:type="dxa"/>
          </w:tcPr>
          <w:p>
            <w:pPr>
              <w:jc w:val="left"/>
              <w:rPr>
                <w:rFonts w:ascii="宋体" w:hAnsi="宋体" w:cs="宋体"/>
                <w:color w:val="000000"/>
                <w:sz w:val="22"/>
                <w:szCs w:val="22"/>
              </w:rPr>
            </w:pPr>
            <w:r>
              <w:rPr>
                <w:rFonts w:hint="eastAsia" w:ascii="宋体" w:hAnsi="宋体" w:cs="Arial"/>
                <w:szCs w:val="21"/>
              </w:rPr>
              <w:t>7.1.1</w:t>
            </w:r>
            <w:r>
              <w:rPr>
                <w:rFonts w:hint="eastAsia" w:ascii="宋体" w:hAnsi="宋体" w:cs="Arial"/>
                <w:sz w:val="18"/>
                <w:szCs w:val="18"/>
              </w:rPr>
              <w:t>（EO7.1）</w:t>
            </w:r>
          </w:p>
        </w:tc>
        <w:tc>
          <w:tcPr>
            <w:tcW w:w="10004" w:type="dxa"/>
          </w:tcPr>
          <w:p>
            <w:pPr>
              <w:pStyle w:val="2"/>
              <w:spacing w:before="0" w:after="0"/>
              <w:ind w:firstLine="480" w:firstLineChars="200"/>
              <w:rPr>
                <w:spacing w:val="0"/>
              </w:rPr>
            </w:pPr>
            <w:r>
              <w:rPr>
                <w:rFonts w:hint="eastAsia" w:ascii="宋体" w:hAnsi="宋体" w:cs="宋体"/>
                <w:color w:val="000000"/>
                <w:sz w:val="22"/>
                <w:szCs w:val="22"/>
              </w:rPr>
              <w:t>公司总经理说明：</w:t>
            </w:r>
            <w:r>
              <w:rPr>
                <w:rFonts w:hint="eastAsia" w:ascii="宋体" w:hAnsi="宋体" w:cs="宋体"/>
                <w:color w:val="000000"/>
                <w:spacing w:val="0"/>
                <w:sz w:val="22"/>
                <w:szCs w:val="22"/>
              </w:rPr>
              <w:t>公司的人力、工作场所、办公设施、工作环境、运输等资源能够满足当前公司实际需要。</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沟通与信息交流</w:t>
            </w:r>
          </w:p>
          <w:p>
            <w:pPr>
              <w:jc w:val="left"/>
              <w:rPr>
                <w:rFonts w:hint="eastAsia" w:ascii="宋体" w:hAnsi="宋体" w:eastAsia="宋体" w:cs="宋体"/>
                <w:bCs/>
                <w:color w:val="000000"/>
                <w:spacing w:val="10"/>
                <w:kern w:val="2"/>
                <w:sz w:val="22"/>
                <w:szCs w:val="22"/>
                <w:lang w:val="en-US" w:eastAsia="zh-CN" w:bidi="ar-SA"/>
              </w:rPr>
            </w:pPr>
          </w:p>
        </w:tc>
        <w:tc>
          <w:tcPr>
            <w:tcW w:w="960" w:type="dxa"/>
          </w:tcPr>
          <w:p>
            <w:pPr>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7.4</w:t>
            </w:r>
          </w:p>
          <w:p>
            <w:pPr>
              <w:jc w:val="left"/>
              <w:rPr>
                <w:rFonts w:hint="eastAsia" w:ascii="宋体" w:hAnsi="宋体" w:eastAsia="宋体" w:cs="宋体"/>
                <w:bCs/>
                <w:color w:val="000000"/>
                <w:spacing w:val="10"/>
                <w:kern w:val="2"/>
                <w:sz w:val="22"/>
                <w:szCs w:val="22"/>
                <w:lang w:val="en-US" w:eastAsia="zh-CN" w:bidi="ar-SA"/>
              </w:rPr>
            </w:pPr>
          </w:p>
        </w:tc>
        <w:tc>
          <w:tcPr>
            <w:tcW w:w="10004" w:type="dxa"/>
          </w:tcPr>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公司制定并实施《信息交流、沟通参与和协商程序》，明确了内外部沟通的内容、途径、信息处理等要求。</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部信息交流途径：公司办公例会、各部门内部会议、培训、电话通知、文件传递、培训、文件传递、内部OA、宣传栏等方式。</w:t>
            </w:r>
          </w:p>
          <w:p>
            <w:pPr>
              <w:ind w:firstLine="480" w:firstLineChars="200"/>
              <w:jc w:val="left"/>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接收外部信息的形式有：顾客调查表、第二方/第三方审核结果、各种信件、报纸、新闻、书刊杂志、网络。对外交流信息方式有：环保活动、宣传、媒体、信件、调查表、书面报告、协议书或合同等。</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ascii="宋体" w:hAnsi="宋体" w:cs="宋体"/>
                <w:color w:val="000000"/>
                <w:sz w:val="22"/>
                <w:szCs w:val="22"/>
              </w:rPr>
            </w:pPr>
            <w:r>
              <w:rPr>
                <w:rFonts w:hint="eastAsia" w:ascii="宋体" w:hAnsi="宋体" w:cs="宋体"/>
                <w:color w:val="000000"/>
                <w:sz w:val="22"/>
                <w:szCs w:val="22"/>
              </w:rPr>
              <w:t>管理评审</w:t>
            </w:r>
          </w:p>
          <w:p>
            <w:pPr>
              <w:jc w:val="left"/>
            </w:pPr>
          </w:p>
        </w:tc>
        <w:tc>
          <w:tcPr>
            <w:tcW w:w="960" w:type="dxa"/>
          </w:tcPr>
          <w:p>
            <w:pPr>
              <w:jc w:val="left"/>
              <w:rPr>
                <w:rFonts w:ascii="宋体" w:hAnsi="宋体" w:cs="宋体"/>
                <w:color w:val="000000"/>
                <w:sz w:val="22"/>
                <w:szCs w:val="22"/>
              </w:rPr>
            </w:pPr>
            <w:r>
              <w:rPr>
                <w:rFonts w:hint="eastAsia" w:ascii="宋体" w:hAnsi="宋体" w:cs="宋体"/>
                <w:color w:val="000000"/>
                <w:sz w:val="22"/>
                <w:szCs w:val="22"/>
              </w:rPr>
              <w:t xml:space="preserve">9.3 </w:t>
            </w:r>
          </w:p>
          <w:p>
            <w:pPr>
              <w:jc w:val="left"/>
              <w:rPr>
                <w:rFonts w:ascii="宋体" w:hAnsi="宋体" w:cs="宋体"/>
                <w:color w:val="000000"/>
                <w:sz w:val="22"/>
                <w:szCs w:val="22"/>
              </w:rPr>
            </w:pPr>
          </w:p>
        </w:tc>
        <w:tc>
          <w:tcPr>
            <w:tcW w:w="10004"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公司制定并实施《管理评审程序》，管理评审每年进行一次，由总经理根据实际需要决定是否增加管理评审的频次。</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提供了2</w:t>
            </w:r>
            <w:r>
              <w:rPr>
                <w:rFonts w:ascii="宋体" w:hAnsi="宋体" w:cs="宋体"/>
                <w:color w:val="000000"/>
                <w:sz w:val="22"/>
                <w:szCs w:val="22"/>
              </w:rPr>
              <w:t>021</w:t>
            </w:r>
            <w:r>
              <w:rPr>
                <w:rFonts w:hint="eastAsia" w:ascii="宋体" w:hAnsi="宋体" w:cs="宋体"/>
                <w:color w:val="000000"/>
                <w:sz w:val="22"/>
                <w:szCs w:val="22"/>
              </w:rPr>
              <w:t>年公司管理评审活动资料如下：</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1）查见公司《管理评审计划》，批准人：陈建阳，计划编制时间：2021年1</w:t>
            </w:r>
            <w:r>
              <w:rPr>
                <w:rFonts w:ascii="宋体" w:hAnsi="宋体" w:cs="宋体"/>
                <w:color w:val="000000"/>
                <w:sz w:val="22"/>
                <w:szCs w:val="22"/>
              </w:rPr>
              <w:t>1</w:t>
            </w:r>
            <w:r>
              <w:rPr>
                <w:rFonts w:hint="eastAsia" w:ascii="宋体" w:hAnsi="宋体" w:cs="宋体"/>
                <w:color w:val="000000"/>
                <w:sz w:val="22"/>
                <w:szCs w:val="22"/>
              </w:rPr>
              <w:t>月</w:t>
            </w:r>
            <w:r>
              <w:rPr>
                <w:rFonts w:ascii="宋体" w:hAnsi="宋体" w:cs="宋体"/>
                <w:color w:val="000000"/>
                <w:sz w:val="22"/>
                <w:szCs w:val="22"/>
              </w:rPr>
              <w:t>19</w:t>
            </w:r>
            <w:r>
              <w:rPr>
                <w:rFonts w:hint="eastAsia" w:ascii="宋体" w:hAnsi="宋体" w:cs="宋体"/>
                <w:color w:val="000000"/>
                <w:sz w:val="22"/>
                <w:szCs w:val="22"/>
              </w:rPr>
              <w:t>日。</w:t>
            </w:r>
          </w:p>
          <w:p>
            <w:pPr>
              <w:ind w:firstLine="880" w:firstLineChars="400"/>
              <w:jc w:val="left"/>
              <w:rPr>
                <w:rFonts w:ascii="宋体" w:hAnsi="宋体" w:cs="宋体"/>
                <w:color w:val="000000"/>
                <w:sz w:val="22"/>
                <w:szCs w:val="22"/>
              </w:rPr>
            </w:pPr>
            <w:r>
              <w:rPr>
                <w:rFonts w:hint="eastAsia" w:ascii="宋体" w:hAnsi="宋体" w:cs="宋体"/>
                <w:color w:val="000000"/>
                <w:sz w:val="22"/>
                <w:szCs w:val="22"/>
              </w:rPr>
              <w:t>计划评审时间：2021年1</w:t>
            </w:r>
            <w:r>
              <w:rPr>
                <w:rFonts w:ascii="宋体" w:hAnsi="宋体" w:cs="宋体"/>
                <w:color w:val="000000"/>
                <w:sz w:val="22"/>
                <w:szCs w:val="22"/>
              </w:rPr>
              <w:t>1</w:t>
            </w:r>
            <w:r>
              <w:rPr>
                <w:rFonts w:hint="eastAsia" w:ascii="宋体" w:hAnsi="宋体" w:cs="宋体"/>
                <w:color w:val="000000"/>
                <w:sz w:val="22"/>
                <w:szCs w:val="22"/>
              </w:rPr>
              <w:t>月2</w:t>
            </w:r>
            <w:r>
              <w:rPr>
                <w:rFonts w:ascii="宋体" w:hAnsi="宋体" w:cs="宋体"/>
                <w:color w:val="000000"/>
                <w:sz w:val="22"/>
                <w:szCs w:val="22"/>
              </w:rPr>
              <w:t>4</w:t>
            </w:r>
            <w:r>
              <w:rPr>
                <w:rFonts w:hint="eastAsia" w:ascii="宋体" w:hAnsi="宋体" w:cs="宋体"/>
                <w:color w:val="000000"/>
                <w:sz w:val="22"/>
                <w:szCs w:val="22"/>
              </w:rPr>
              <w:t>日；</w:t>
            </w:r>
          </w:p>
          <w:p>
            <w:pPr>
              <w:pStyle w:val="2"/>
              <w:ind w:firstLine="880" w:firstLineChars="400"/>
              <w:rPr>
                <w:rFonts w:ascii="宋体" w:hAnsi="宋体" w:cs="宋体"/>
                <w:bCs w:val="0"/>
                <w:color w:val="000000"/>
                <w:spacing w:val="0"/>
                <w:sz w:val="22"/>
                <w:szCs w:val="22"/>
              </w:rPr>
            </w:pPr>
            <w:r>
              <w:rPr>
                <w:rFonts w:hint="eastAsia" w:ascii="宋体" w:hAnsi="宋体" w:cs="宋体"/>
                <w:bCs w:val="0"/>
                <w:color w:val="000000"/>
                <w:spacing w:val="0"/>
                <w:sz w:val="22"/>
                <w:szCs w:val="22"/>
              </w:rPr>
              <w:t>评审目的：评价公司QMS、EMS、OHSMS三体系的适宜性、充分性和有效性</w:t>
            </w:r>
          </w:p>
          <w:p>
            <w:pPr>
              <w:ind w:left="1940" w:leftChars="400" w:hanging="1100" w:hangingChars="500"/>
              <w:jc w:val="left"/>
              <w:rPr>
                <w:rFonts w:ascii="宋体" w:hAnsi="宋体" w:cs="宋体"/>
                <w:color w:val="000000"/>
                <w:sz w:val="22"/>
                <w:szCs w:val="22"/>
              </w:rPr>
            </w:pPr>
            <w:r>
              <w:rPr>
                <w:rFonts w:hint="eastAsia" w:ascii="宋体" w:hAnsi="宋体" w:cs="宋体"/>
                <w:color w:val="000000"/>
                <w:sz w:val="22"/>
                <w:szCs w:val="22"/>
              </w:rPr>
              <w:t>评审范围：石材制品、石雕工艺品、墓碑的销售（法规强制要求范围除外）所涉及的相关管理活动。</w:t>
            </w:r>
          </w:p>
          <w:p>
            <w:pPr>
              <w:ind w:left="1940" w:leftChars="400" w:hanging="1100" w:hangingChars="500"/>
              <w:jc w:val="left"/>
              <w:rPr>
                <w:rFonts w:ascii="宋体" w:hAnsi="宋体" w:cs="宋体"/>
                <w:color w:val="000000"/>
                <w:sz w:val="22"/>
                <w:szCs w:val="22"/>
              </w:rPr>
            </w:pPr>
            <w:r>
              <w:rPr>
                <w:rFonts w:hint="eastAsia" w:ascii="宋体" w:hAnsi="宋体" w:cs="宋体"/>
                <w:color w:val="000000"/>
                <w:sz w:val="22"/>
                <w:szCs w:val="22"/>
              </w:rPr>
              <w:t>评审内容：与管理体系相关的内外部因素的变化；与有关体系绩效和有效性的信息，包括下列趋势性的信息（顾客满意度和相关方的反馈；目标的实现程度；过程绩效以及产品和服务的符合性；不合格以及纠正措施；监视和监测的结果；审核结果；外部供方的绩效等）；资源的充分性；应对风险和机遇所采取措施的有效性；改进的机会；组织知识是否可以满足经营需要；相关方及相关方的要求识别和评价情况；上次外部审核结论及不符合改进情况；前次管理评审、内部审核情况及改进情况追踪；合规性评价情况等</w:t>
            </w:r>
          </w:p>
          <w:p>
            <w:pPr>
              <w:ind w:firstLine="880" w:firstLineChars="400"/>
              <w:jc w:val="left"/>
              <w:rPr>
                <w:rFonts w:ascii="宋体" w:hAnsi="宋体" w:cs="宋体"/>
                <w:color w:val="000000"/>
                <w:sz w:val="22"/>
                <w:szCs w:val="22"/>
              </w:rPr>
            </w:pPr>
            <w:r>
              <w:rPr>
                <w:rFonts w:hint="eastAsia" w:ascii="宋体" w:hAnsi="宋体" w:cs="宋体"/>
                <w:color w:val="000000"/>
                <w:sz w:val="22"/>
                <w:szCs w:val="22"/>
              </w:rPr>
              <w:t>参加人员：包括公司总经理、管理者代表、安全事务代表、各部门负责人，签到表：</w:t>
            </w:r>
          </w:p>
          <w:p>
            <w:pPr>
              <w:pStyle w:val="2"/>
              <w:jc w:val="center"/>
            </w:pPr>
            <w:r>
              <w:drawing>
                <wp:inline distT="0" distB="0" distL="0" distR="0">
                  <wp:extent cx="2959100" cy="18916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t="15233" r="8602" b="51896"/>
                          <a:stretch>
                            <a:fillRect/>
                          </a:stretch>
                        </pic:blipFill>
                        <pic:spPr>
                          <a:xfrm>
                            <a:off x="0" y="0"/>
                            <a:ext cx="2960488" cy="1893114"/>
                          </a:xfrm>
                          <a:prstGeom prst="rect">
                            <a:avLst/>
                          </a:prstGeom>
                          <a:noFill/>
                          <a:ln>
                            <a:noFill/>
                          </a:ln>
                        </pic:spPr>
                      </pic:pic>
                    </a:graphicData>
                  </a:graphic>
                </wp:inline>
              </w:drawing>
            </w:r>
          </w:p>
          <w:p>
            <w:pPr>
              <w:tabs>
                <w:tab w:val="left" w:pos="312"/>
              </w:tabs>
              <w:ind w:firstLine="440" w:firstLineChars="200"/>
              <w:jc w:val="left"/>
              <w:rPr>
                <w:rFonts w:ascii="宋体" w:hAnsi="宋体" w:cs="宋体"/>
                <w:color w:val="000000"/>
                <w:sz w:val="22"/>
                <w:szCs w:val="22"/>
              </w:rPr>
            </w:pPr>
            <w:r>
              <w:rPr>
                <w:rFonts w:hint="eastAsia" w:ascii="宋体" w:hAnsi="宋体" w:cs="宋体"/>
                <w:color w:val="000000"/>
                <w:sz w:val="22"/>
                <w:szCs w:val="22"/>
              </w:rPr>
              <w:t>2）管理评审输入：一是管理者代表对公司质量、环境、职业健康安全三体系运行情况总结；二是各部门汇报三体系运行情况。</w:t>
            </w:r>
          </w:p>
          <w:p>
            <w:pPr>
              <w:ind w:firstLine="440" w:firstLineChars="200"/>
              <w:jc w:val="left"/>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）查见公司《管理评审报告》：</w:t>
            </w:r>
          </w:p>
          <w:p>
            <w:pPr>
              <w:ind w:firstLine="880" w:firstLineChars="400"/>
              <w:rPr>
                <w:rFonts w:ascii="宋体" w:hAnsi="宋体" w:cs="宋体"/>
                <w:color w:val="000000"/>
                <w:sz w:val="22"/>
                <w:szCs w:val="22"/>
              </w:rPr>
            </w:pPr>
            <w:r>
              <w:rPr>
                <w:rFonts w:hint="eastAsia" w:ascii="宋体" w:hAnsi="宋体" w:cs="宋体"/>
                <w:color w:val="000000"/>
                <w:sz w:val="22"/>
                <w:szCs w:val="22"/>
              </w:rPr>
              <w:t>主持人：陈建阳（公司总经理）；</w:t>
            </w:r>
          </w:p>
          <w:p>
            <w:pPr>
              <w:ind w:left="1940" w:leftChars="400" w:hanging="1100" w:hangingChars="500"/>
              <w:rPr>
                <w:rFonts w:ascii="宋体" w:hAnsi="宋体" w:cs="宋体"/>
                <w:color w:val="000000"/>
                <w:sz w:val="22"/>
                <w:szCs w:val="22"/>
              </w:rPr>
            </w:pPr>
            <w:r>
              <w:rPr>
                <w:rFonts w:hint="eastAsia" w:ascii="宋体" w:hAnsi="宋体" w:cs="宋体"/>
                <w:color w:val="000000"/>
                <w:sz w:val="22"/>
                <w:szCs w:val="22"/>
              </w:rPr>
              <w:t>评审结论：公司的质量、环境、职业健康安全管理体系得以有效运行。公司制定的管理方针得到有效沟通及全员认同，公司各目标均达成。因此，公司的质量、环境、职业健康安全方针、目标和管理体系是充分的、适宜的和有效的。</w:t>
            </w:r>
          </w:p>
          <w:p>
            <w:pPr>
              <w:ind w:firstLine="880" w:firstLineChars="400"/>
              <w:jc w:val="left"/>
              <w:rPr>
                <w:rFonts w:ascii="宋体" w:hAnsi="宋体" w:cs="宋体"/>
                <w:color w:val="000000"/>
                <w:sz w:val="22"/>
                <w:szCs w:val="22"/>
              </w:rPr>
            </w:pPr>
            <w:r>
              <w:rPr>
                <w:rFonts w:hint="eastAsia" w:ascii="宋体" w:hAnsi="宋体" w:cs="宋体"/>
                <w:color w:val="000000"/>
                <w:sz w:val="22"/>
                <w:szCs w:val="22"/>
              </w:rPr>
              <w:t>形成决议或措施要求：一是业务员在出差、挖掘客户的同时，加强对其安全培训。</w:t>
            </w:r>
          </w:p>
          <w:p>
            <w:pPr>
              <w:ind w:firstLine="3080" w:firstLineChars="1400"/>
              <w:jc w:val="left"/>
              <w:rPr>
                <w:rFonts w:ascii="宋体" w:hAnsi="宋体" w:cs="宋体"/>
                <w:color w:val="000000"/>
                <w:sz w:val="22"/>
                <w:szCs w:val="22"/>
              </w:rPr>
            </w:pPr>
            <w:r>
              <w:rPr>
                <w:rFonts w:hint="eastAsia" w:ascii="宋体" w:hAnsi="宋体" w:cs="宋体"/>
                <w:color w:val="000000"/>
                <w:sz w:val="22"/>
                <w:szCs w:val="22"/>
              </w:rPr>
              <w:t>二是对供应商的产品质量和要求继续管控和保持。</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4）提供了公司《管理评审改进措施实施计划》（2021年11月24日编制），对管理评审的</w:t>
            </w:r>
            <w:r>
              <w:rPr>
                <w:rFonts w:ascii="宋体" w:hAnsi="宋体" w:cs="宋体"/>
                <w:color w:val="000000"/>
                <w:sz w:val="22"/>
                <w:szCs w:val="22"/>
              </w:rPr>
              <w:t>2</w:t>
            </w:r>
            <w:r>
              <w:rPr>
                <w:rFonts w:hint="eastAsia" w:ascii="宋体" w:hAnsi="宋体" w:cs="宋体"/>
                <w:color w:val="000000"/>
                <w:sz w:val="22"/>
                <w:szCs w:val="22"/>
              </w:rPr>
              <w:t>项改进决议，制定了改进实施计划，确定了实施部门和完成时间。</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pPr>
            <w:r>
              <w:rPr>
                <w:rFonts w:hint="eastAsia" w:ascii="宋体" w:hAnsi="宋体" w:cs="宋体"/>
                <w:color w:val="000000"/>
                <w:sz w:val="22"/>
                <w:szCs w:val="22"/>
              </w:rPr>
              <w:t>改进——总则</w:t>
            </w:r>
          </w:p>
        </w:tc>
        <w:tc>
          <w:tcPr>
            <w:tcW w:w="960" w:type="dxa"/>
          </w:tcPr>
          <w:p>
            <w:pPr>
              <w:jc w:val="left"/>
            </w:pPr>
            <w:r>
              <w:rPr>
                <w:rFonts w:hint="eastAsia" w:ascii="宋体" w:hAnsi="宋体" w:cs="宋体"/>
                <w:color w:val="000000"/>
                <w:sz w:val="22"/>
                <w:szCs w:val="22"/>
              </w:rPr>
              <w:t>10.1</w:t>
            </w:r>
          </w:p>
        </w:tc>
        <w:tc>
          <w:tcPr>
            <w:tcW w:w="10004" w:type="dxa"/>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公司考虑了分析、评价结果及管理评审的输出，并确定了对存在应关注的持续改进的需求和机遇。</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60" w:type="dxa"/>
          </w:tcPr>
          <w:p>
            <w:r>
              <w:rPr>
                <w:rFonts w:hint="eastAsia" w:ascii="宋体" w:hAnsi="宋体" w:cs="宋体"/>
                <w:szCs w:val="21"/>
              </w:rPr>
              <w:t>持续改进</w:t>
            </w:r>
          </w:p>
        </w:tc>
        <w:tc>
          <w:tcPr>
            <w:tcW w:w="960" w:type="dxa"/>
          </w:tcPr>
          <w:p>
            <w:pPr>
              <w:rPr>
                <w:szCs w:val="21"/>
              </w:rPr>
            </w:pPr>
            <w:r>
              <w:rPr>
                <w:rFonts w:hint="eastAsia"/>
                <w:szCs w:val="21"/>
              </w:rPr>
              <w:t>10.3</w:t>
            </w:r>
          </w:p>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公司利用管理方针、目标、内审和外审、数据分析、纠正和预防措施以及管理评审，识别任何改进的机会，持续改进管理体系的适宜性、充分性和有效性。</w:t>
            </w:r>
          </w:p>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公司组织确定并选择改进机会，采取了必要措施，以满足顾客要求和增强顾客满意。</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ind w:firstLine="880" w:firstLineChars="400"/>
              <w:jc w:val="left"/>
              <w:rPr>
                <w:rFonts w:hint="eastAsia" w:ascii="宋体" w:hAnsi="宋体" w:eastAsia="宋体" w:cs="宋体"/>
                <w:color w:val="000000"/>
                <w:sz w:val="22"/>
                <w:szCs w:val="22"/>
              </w:rPr>
            </w:pPr>
            <w:r>
              <w:rPr>
                <w:rFonts w:hint="eastAsia" w:ascii="宋体" w:hAnsi="宋体" w:eastAsia="宋体" w:cs="宋体"/>
                <w:color w:val="000000"/>
                <w:sz w:val="22"/>
                <w:szCs w:val="22"/>
              </w:rPr>
              <w:t>资质验证</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公司提供的营业执照等资质仍在有效期内：</w:t>
            </w:r>
          </w:p>
          <w:p>
            <w:pPr>
              <w:ind w:firstLine="880" w:firstLineChars="400"/>
              <w:jc w:val="left"/>
              <w:rPr>
                <w:rFonts w:hint="eastAsia" w:ascii="宋体" w:hAnsi="宋体" w:eastAsia="宋体" w:cs="宋体"/>
                <w:color w:val="000000"/>
                <w:sz w:val="22"/>
                <w:szCs w:val="22"/>
              </w:rPr>
            </w:pPr>
            <w:r>
              <w:rPr>
                <w:rFonts w:hint="eastAsia" w:ascii="宋体" w:hAnsi="宋体" w:eastAsia="宋体" w:cs="宋体"/>
                <w:color w:val="000000"/>
                <w:sz w:val="22"/>
                <w:szCs w:val="22"/>
              </w:rPr>
              <w:drawing>
                <wp:inline distT="0" distB="0" distL="0" distR="0">
                  <wp:extent cx="4500245" cy="32740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15885" cy="3285122"/>
                          </a:xfrm>
                          <a:prstGeom prst="rect">
                            <a:avLst/>
                          </a:prstGeom>
                          <a:noFill/>
                          <a:ln>
                            <a:noFill/>
                          </a:ln>
                        </pic:spPr>
                      </pic:pic>
                    </a:graphicData>
                  </a:graphic>
                </wp:inline>
              </w:drawing>
            </w:r>
          </w:p>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公司各体系认证范围无变化。</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60" w:type="dxa"/>
          </w:tcPr>
          <w:p>
            <w:pPr>
              <w:jc w:val="left"/>
              <w:rPr>
                <w:rFonts w:hint="eastAsia" w:ascii="宋体" w:hAnsi="宋体" w:eastAsia="宋体" w:cs="宋体"/>
                <w:color w:val="000000"/>
                <w:sz w:val="22"/>
                <w:szCs w:val="22"/>
              </w:rPr>
            </w:pPr>
            <w:r>
              <w:rPr>
                <w:rFonts w:hint="eastAsia" w:ascii="宋体" w:hAnsi="宋体" w:eastAsia="宋体" w:cs="宋体"/>
                <w:color w:val="000000"/>
                <w:sz w:val="22"/>
                <w:szCs w:val="22"/>
              </w:rPr>
              <w:t>事故</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公司的管理体系自运行以来，尚未发生事故事件。</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tcPr>
          <w:p>
            <w:pPr>
              <w:jc w:val="left"/>
              <w:rPr>
                <w:rFonts w:hint="eastAsia" w:ascii="宋体" w:hAnsi="宋体" w:eastAsia="宋体" w:cs="宋体"/>
                <w:color w:val="000000"/>
                <w:sz w:val="22"/>
                <w:szCs w:val="22"/>
              </w:rPr>
            </w:pPr>
            <w:r>
              <w:rPr>
                <w:rFonts w:hint="eastAsia" w:ascii="宋体" w:hAnsi="宋体" w:eastAsia="宋体" w:cs="宋体"/>
                <w:color w:val="000000"/>
                <w:sz w:val="22"/>
                <w:szCs w:val="22"/>
              </w:rPr>
              <w:t>顾客满意、相关方投诉处理</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近年来未发生顾客及相关方投诉情况，日常顾客反馈意见或建议已及时处理。</w:t>
            </w:r>
          </w:p>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2021年09月05日组织进行了顾客满意度调查，提供了《顾客满意度调查表》和《顾客满意度分析报告》，调查表的回收率是100％，客户的平均总评满意度达97分，实现了顾客满意度≥90分的目标</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0" w:type="dxa"/>
          </w:tcPr>
          <w:p>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主管部门抽查情况</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上级主管部门本年度未进行监督抽查。</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0" w:type="dxa"/>
          </w:tcPr>
          <w:p>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标准、规范执行、遵纪守法情况</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目前公司经营过程中没有发生违反适用法律法规及其他要求的情况。</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0" w:type="dxa"/>
          </w:tcPr>
          <w:p>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问题的验证</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上次审核提出1个问题项，已经得到有效整改。</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0" w:type="dxa"/>
          </w:tcPr>
          <w:p>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认证证书、标志的使用情况</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体系证书用于公司对外宣传，标志尚未使用。</w:t>
            </w:r>
          </w:p>
        </w:tc>
        <w:tc>
          <w:tcPr>
            <w:tcW w:w="1585"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0" w:type="dxa"/>
          </w:tcPr>
          <w:p>
            <w:pPr>
              <w:jc w:val="left"/>
              <w:rPr>
                <w:rFonts w:hint="eastAsia" w:ascii="宋体" w:hAnsi="宋体" w:eastAsia="宋体" w:cs="宋体"/>
                <w:color w:val="000000"/>
                <w:sz w:val="22"/>
                <w:szCs w:val="22"/>
              </w:rPr>
            </w:pPr>
            <w:r>
              <w:rPr>
                <w:rFonts w:hint="eastAsia" w:ascii="宋体" w:hAnsi="宋体" w:eastAsia="宋体" w:cs="宋体"/>
                <w:color w:val="000000"/>
                <w:sz w:val="22"/>
                <w:szCs w:val="22"/>
              </w:rPr>
              <w:t>变更</w:t>
            </w:r>
          </w:p>
        </w:tc>
        <w:tc>
          <w:tcPr>
            <w:tcW w:w="960" w:type="dxa"/>
          </w:tcPr>
          <w:p>
            <w:pPr>
              <w:ind w:firstLine="880" w:firstLineChars="400"/>
              <w:jc w:val="left"/>
              <w:rPr>
                <w:rFonts w:hint="eastAsia" w:ascii="宋体" w:hAnsi="宋体" w:eastAsia="宋体" w:cs="宋体"/>
                <w:color w:val="000000"/>
                <w:sz w:val="22"/>
                <w:szCs w:val="22"/>
              </w:rPr>
            </w:pPr>
          </w:p>
        </w:tc>
        <w:tc>
          <w:tcPr>
            <w:tcW w:w="10004" w:type="dxa"/>
            <w:vAlign w:val="center"/>
          </w:tcPr>
          <w:p>
            <w:pPr>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rPr>
              <w:t>体系无重大变更。</w:t>
            </w:r>
          </w:p>
        </w:tc>
        <w:tc>
          <w:tcPr>
            <w:tcW w:w="1585" w:type="dxa"/>
          </w:tcPr>
          <w:p>
            <w:pPr>
              <w:jc w:val="center"/>
            </w:pPr>
            <w:r>
              <w:rPr>
                <w:rFonts w:hint="eastAsia"/>
              </w:rPr>
              <w:t>OK</w:t>
            </w:r>
          </w:p>
        </w:tc>
      </w:tr>
    </w:tbl>
    <w:p>
      <w:pPr>
        <w:pStyle w:val="5"/>
        <w:spacing w:before="156" w:beforeLines="50" w:line="480" w:lineRule="auto"/>
        <w:ind w:firstLine="360" w:firstLineChars="200"/>
      </w:pPr>
      <w:r>
        <w:rPr>
          <w:rFonts w:hint="eastAsia"/>
        </w:rPr>
        <w:t>说明：不符合标注N。</w:t>
      </w:r>
    </w:p>
    <w:sectPr>
      <w:headerReference r:id="rId3" w:type="default"/>
      <w:footerReference r:id="rId4" w:type="default"/>
      <w:pgSz w:w="16838" w:h="11906" w:orient="landscape"/>
      <w:pgMar w:top="1418" w:right="1134" w:bottom="1418" w:left="1134" w:header="907"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EndPr>
      <w:rPr>
        <w:rFonts w:asciiTheme="minorEastAsia" w:hAnsiTheme="minorEastAsia" w:eastAsiaTheme="minorEastAsia"/>
      </w:rPr>
    </w:sdtEndPr>
    <w:sdtContent>
      <w:sdt>
        <w:sdtPr>
          <w:id w:val="171357217"/>
        </w:sdtPr>
        <w:sdtEndPr>
          <w:rPr>
            <w:rFonts w:asciiTheme="minorEastAsia" w:hAnsiTheme="minorEastAsia" w:eastAsiaTheme="minorEastAsia"/>
          </w:rPr>
        </w:sdtEndPr>
        <w:sdtContent>
          <w:p>
            <w:pPr>
              <w:pStyle w:val="5"/>
              <w:jc w:val="center"/>
              <w:rPr>
                <w:rFonts w:asciiTheme="minorEastAsia" w:hAnsiTheme="minorEastAsia" w:eastAsiaTheme="minorEastAsia"/>
              </w:rPr>
            </w:pPr>
            <w:r>
              <w:rPr>
                <w:rFonts w:asciiTheme="minorEastAsia" w:hAnsiTheme="minorEastAsia" w:eastAsiaTheme="minorEastAsia"/>
                <w:b/>
              </w:rPr>
              <w:fldChar w:fldCharType="begin"/>
            </w:r>
            <w:r>
              <w:rPr>
                <w:rFonts w:asciiTheme="minorEastAsia" w:hAnsiTheme="minorEastAsia" w:eastAsiaTheme="minorEastAsia"/>
                <w:b/>
              </w:rPr>
              <w:instrText xml:space="preserve">PAGE</w:instrText>
            </w:r>
            <w:r>
              <w:rPr>
                <w:rFonts w:asciiTheme="minorEastAsia" w:hAnsiTheme="minorEastAsia" w:eastAsiaTheme="minorEastAsia"/>
                <w:b/>
              </w:rPr>
              <w:fldChar w:fldCharType="separate"/>
            </w:r>
            <w:r>
              <w:rPr>
                <w:rFonts w:asciiTheme="minorEastAsia" w:hAnsiTheme="minorEastAsia" w:eastAsiaTheme="minorEastAsia"/>
                <w:b/>
              </w:rPr>
              <w:t>1</w:t>
            </w:r>
            <w:r>
              <w:rPr>
                <w:rFonts w:asciiTheme="minorEastAsia" w:hAnsiTheme="minorEastAsia" w:eastAsiaTheme="minorEastAsia"/>
                <w:b/>
              </w:rPr>
              <w:fldChar w:fldCharType="end"/>
            </w:r>
            <w:r>
              <w:rPr>
                <w:rFonts w:asciiTheme="minorEastAsia" w:hAnsiTheme="minorEastAsia" w:eastAsiaTheme="minorEastAsia"/>
                <w:lang w:val="zh-CN"/>
              </w:rPr>
              <w:t xml:space="preserve"> / </w:t>
            </w:r>
            <w:r>
              <w:rPr>
                <w:rFonts w:asciiTheme="minorEastAsia" w:hAnsiTheme="minorEastAsia" w:eastAsiaTheme="minorEastAsia"/>
                <w:b/>
              </w:rPr>
              <w:fldChar w:fldCharType="begin"/>
            </w:r>
            <w:r>
              <w:rPr>
                <w:rFonts w:asciiTheme="minorEastAsia" w:hAnsiTheme="minorEastAsia" w:eastAsiaTheme="minorEastAsia"/>
                <w:b/>
              </w:rPr>
              <w:instrText xml:space="preserve">NUMPAGES</w:instrText>
            </w:r>
            <w:r>
              <w:rPr>
                <w:rFonts w:asciiTheme="minorEastAsia" w:hAnsiTheme="minorEastAsia" w:eastAsiaTheme="minorEastAsia"/>
                <w:b/>
              </w:rPr>
              <w:fldChar w:fldCharType="separate"/>
            </w:r>
            <w:r>
              <w:rPr>
                <w:rFonts w:asciiTheme="minorEastAsia" w:hAnsiTheme="minorEastAsia" w:eastAsiaTheme="minorEastAsia"/>
                <w:b/>
              </w:rPr>
              <w:t>10</w:t>
            </w:r>
            <w:r>
              <w:rPr>
                <w:rFonts w:asciiTheme="minorEastAsia" w:hAnsiTheme="minorEastAsia" w:eastAsiaTheme="minorEastAsia"/>
                <w:b/>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jc w:val="cente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pPr>
                      <w:jc w:val="center"/>
                      <w:rPr>
                        <w:sz w:val="18"/>
                        <w:szCs w:val="18"/>
                      </w:rPr>
                    </w:pPr>
                    <w:r>
                      <w:rPr>
                        <w:rFonts w:hint="eastAsia"/>
                        <w:sz w:val="18"/>
                        <w:szCs w:val="18"/>
                      </w:rPr>
                      <w:t>ISC-B-II-12(05版）</w:t>
                    </w:r>
                  </w:p>
                  <w:p/>
                </w:txbxContent>
              </v:textbox>
            </v:shape>
          </w:pict>
        </mc:Fallback>
      </mc:AlternateContent>
    </w:r>
    <w:r>
      <w:rPr>
        <w:rStyle w:val="12"/>
        <w:rFonts w:hint="default"/>
        <w:w w:val="90"/>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11"/>
    <w:rsid w:val="000128A9"/>
    <w:rsid w:val="00017E5E"/>
    <w:rsid w:val="000C7CC1"/>
    <w:rsid w:val="00127ABB"/>
    <w:rsid w:val="0013035C"/>
    <w:rsid w:val="00155879"/>
    <w:rsid w:val="0017051F"/>
    <w:rsid w:val="001C4E11"/>
    <w:rsid w:val="00210973"/>
    <w:rsid w:val="00237030"/>
    <w:rsid w:val="002454C3"/>
    <w:rsid w:val="00246C61"/>
    <w:rsid w:val="00287916"/>
    <w:rsid w:val="002C7B73"/>
    <w:rsid w:val="002D3947"/>
    <w:rsid w:val="002E5F39"/>
    <w:rsid w:val="002E7EC8"/>
    <w:rsid w:val="002F35C1"/>
    <w:rsid w:val="002F64CC"/>
    <w:rsid w:val="00300A56"/>
    <w:rsid w:val="003034F2"/>
    <w:rsid w:val="00324ABC"/>
    <w:rsid w:val="00425CF3"/>
    <w:rsid w:val="00434840"/>
    <w:rsid w:val="00452469"/>
    <w:rsid w:val="004653DB"/>
    <w:rsid w:val="0048522D"/>
    <w:rsid w:val="00495000"/>
    <w:rsid w:val="004D621A"/>
    <w:rsid w:val="004E26FA"/>
    <w:rsid w:val="00507C75"/>
    <w:rsid w:val="00507E5D"/>
    <w:rsid w:val="00536912"/>
    <w:rsid w:val="00536CF1"/>
    <w:rsid w:val="00541DCC"/>
    <w:rsid w:val="00557A0F"/>
    <w:rsid w:val="0056166D"/>
    <w:rsid w:val="0058239F"/>
    <w:rsid w:val="005C5B90"/>
    <w:rsid w:val="005E33C4"/>
    <w:rsid w:val="005E3CF4"/>
    <w:rsid w:val="005F2DEA"/>
    <w:rsid w:val="00602F0A"/>
    <w:rsid w:val="006354D5"/>
    <w:rsid w:val="00663480"/>
    <w:rsid w:val="00681366"/>
    <w:rsid w:val="006E1008"/>
    <w:rsid w:val="00721532"/>
    <w:rsid w:val="00734709"/>
    <w:rsid w:val="00734B05"/>
    <w:rsid w:val="007B1CFC"/>
    <w:rsid w:val="007E04D6"/>
    <w:rsid w:val="007F1FA3"/>
    <w:rsid w:val="007F4889"/>
    <w:rsid w:val="00837CC4"/>
    <w:rsid w:val="00863027"/>
    <w:rsid w:val="0088026E"/>
    <w:rsid w:val="008868B7"/>
    <w:rsid w:val="008A0BA5"/>
    <w:rsid w:val="008B22F8"/>
    <w:rsid w:val="008B48A3"/>
    <w:rsid w:val="008B5985"/>
    <w:rsid w:val="008E0955"/>
    <w:rsid w:val="008F6003"/>
    <w:rsid w:val="008F6652"/>
    <w:rsid w:val="00946861"/>
    <w:rsid w:val="00951263"/>
    <w:rsid w:val="009A0D0E"/>
    <w:rsid w:val="009A23B1"/>
    <w:rsid w:val="009A438D"/>
    <w:rsid w:val="009F0522"/>
    <w:rsid w:val="00A01B50"/>
    <w:rsid w:val="00A351B0"/>
    <w:rsid w:val="00A35606"/>
    <w:rsid w:val="00A523B9"/>
    <w:rsid w:val="00A60518"/>
    <w:rsid w:val="00BB7587"/>
    <w:rsid w:val="00C00230"/>
    <w:rsid w:val="00C34982"/>
    <w:rsid w:val="00C3663B"/>
    <w:rsid w:val="00C53C49"/>
    <w:rsid w:val="00C546D9"/>
    <w:rsid w:val="00CB543D"/>
    <w:rsid w:val="00CC66C9"/>
    <w:rsid w:val="00CD3508"/>
    <w:rsid w:val="00CD69B3"/>
    <w:rsid w:val="00D04BE2"/>
    <w:rsid w:val="00D71DD2"/>
    <w:rsid w:val="00DC191D"/>
    <w:rsid w:val="00DD3685"/>
    <w:rsid w:val="00DD66F0"/>
    <w:rsid w:val="00DE2FBC"/>
    <w:rsid w:val="00DF1D8B"/>
    <w:rsid w:val="00E90641"/>
    <w:rsid w:val="00E93D54"/>
    <w:rsid w:val="00ED74A0"/>
    <w:rsid w:val="00F37C45"/>
    <w:rsid w:val="00F64A73"/>
    <w:rsid w:val="00FE06FF"/>
    <w:rsid w:val="00FF0953"/>
    <w:rsid w:val="050253E3"/>
    <w:rsid w:val="053716F6"/>
    <w:rsid w:val="05FA4BFE"/>
    <w:rsid w:val="06C25032"/>
    <w:rsid w:val="0D203FEB"/>
    <w:rsid w:val="0DC6565A"/>
    <w:rsid w:val="0F743BC2"/>
    <w:rsid w:val="110F163A"/>
    <w:rsid w:val="1214337E"/>
    <w:rsid w:val="14B775E0"/>
    <w:rsid w:val="16192089"/>
    <w:rsid w:val="17575502"/>
    <w:rsid w:val="1A3A4363"/>
    <w:rsid w:val="1A70250F"/>
    <w:rsid w:val="1A9538E9"/>
    <w:rsid w:val="1D453AD5"/>
    <w:rsid w:val="1FCC3F47"/>
    <w:rsid w:val="1FF70EBC"/>
    <w:rsid w:val="21AE5C79"/>
    <w:rsid w:val="22480C15"/>
    <w:rsid w:val="23837162"/>
    <w:rsid w:val="265459C7"/>
    <w:rsid w:val="273146F3"/>
    <w:rsid w:val="2A12193E"/>
    <w:rsid w:val="2F351D54"/>
    <w:rsid w:val="2F4E3A2F"/>
    <w:rsid w:val="30CC0AB2"/>
    <w:rsid w:val="310B2561"/>
    <w:rsid w:val="31F7520E"/>
    <w:rsid w:val="336727E9"/>
    <w:rsid w:val="33BA5EAF"/>
    <w:rsid w:val="35A11615"/>
    <w:rsid w:val="35BB76A9"/>
    <w:rsid w:val="35E46651"/>
    <w:rsid w:val="363D286C"/>
    <w:rsid w:val="3838194A"/>
    <w:rsid w:val="3BE24383"/>
    <w:rsid w:val="3C184D10"/>
    <w:rsid w:val="3C200C06"/>
    <w:rsid w:val="3D57169A"/>
    <w:rsid w:val="3FDA7EEC"/>
    <w:rsid w:val="410320E1"/>
    <w:rsid w:val="41F84F3C"/>
    <w:rsid w:val="45626999"/>
    <w:rsid w:val="46204C66"/>
    <w:rsid w:val="4A5015E0"/>
    <w:rsid w:val="4BBE6A82"/>
    <w:rsid w:val="4E0137E6"/>
    <w:rsid w:val="55616AAB"/>
    <w:rsid w:val="556B01A6"/>
    <w:rsid w:val="573E2EB7"/>
    <w:rsid w:val="57507B1B"/>
    <w:rsid w:val="57D73840"/>
    <w:rsid w:val="5AFA2561"/>
    <w:rsid w:val="5CAA4098"/>
    <w:rsid w:val="60372E6A"/>
    <w:rsid w:val="617A6D27"/>
    <w:rsid w:val="64B90146"/>
    <w:rsid w:val="66AC6B93"/>
    <w:rsid w:val="66E76BB1"/>
    <w:rsid w:val="67C16A56"/>
    <w:rsid w:val="69144407"/>
    <w:rsid w:val="6DF01B57"/>
    <w:rsid w:val="6F260365"/>
    <w:rsid w:val="6FF37ED6"/>
    <w:rsid w:val="701470DA"/>
    <w:rsid w:val="702419F0"/>
    <w:rsid w:val="70F4367F"/>
    <w:rsid w:val="718977DE"/>
    <w:rsid w:val="718D5D77"/>
    <w:rsid w:val="74E1676F"/>
    <w:rsid w:val="785D6228"/>
    <w:rsid w:val="7899296C"/>
    <w:rsid w:val="7B304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931</Words>
  <Characters>5308</Characters>
  <Lines>44</Lines>
  <Paragraphs>12</Paragraphs>
  <TotalTime>8</TotalTime>
  <ScaleCrop>false</ScaleCrop>
  <LinksUpToDate>false</LinksUpToDate>
  <CharactersWithSpaces>6227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2021-12-17T13:09:32Z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C401502A590C480B8F479ACF3A135FD6</vt:lpwstr>
  </property>
</Properties>
</file>