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253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泉州惠安鑫盛隆石业有限公司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111125</wp:posOffset>
                  </wp:positionV>
                  <wp:extent cx="1064260" cy="407035"/>
                  <wp:effectExtent l="0" t="0" r="2540" b="12065"/>
                  <wp:wrapNone/>
                  <wp:docPr id="4" name="图片 2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21080" cy="233045"/>
                  <wp:effectExtent l="0" t="0" r="7620" b="14605"/>
                  <wp:docPr id="3" name="图片 3" descr="cda47da047b4617d21a0dc96a71c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da47da047b4617d21a0dc96a71c3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410" w:lineRule="exact"/>
              <w:rPr>
                <w:rFonts w:hint="default" w:ascii="Arial" w:hAnsi="Arial" w:eastAsia="宋体" w:cs="Arial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>销售服务流程：</w:t>
            </w:r>
          </w:p>
          <w:p>
            <w:pPr>
              <w:snapToGrid w:val="0"/>
              <w:spacing w:line="410" w:lineRule="exact"/>
              <w:rPr>
                <w:b/>
                <w:sz w:val="20"/>
              </w:rPr>
            </w:pPr>
            <w:r>
              <w:rPr>
                <w:rFonts w:hint="eastAsia" w:ascii="Arial" w:hAnsi="Arial" w:eastAsia="宋体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>开发客户—客户沟通—联系供方—询价—客户确认—下订单—跟踪—交货—对帐收款—售后服务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410" w:lineRule="exact"/>
              <w:rPr>
                <w:b/>
                <w:sz w:val="20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</w:rPr>
              <w:t>销售的关键过程为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single"/>
              </w:rPr>
              <w:t>销售服务过程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执行销售管理程序，对该过程人员能力、工作规范、服务态度及工作环境等方面进行确认，日常对人员进行培训教育、监督和管理。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重要环境因素：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固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体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废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弃物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排放、火灾。</w:t>
            </w:r>
          </w:p>
          <w:p>
            <w:pPr>
              <w:spacing w:line="280" w:lineRule="exact"/>
              <w:rPr>
                <w:rFonts w:hint="default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运行控制固废分类管理分类处理；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配备消防器材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禁烟火；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日常检查、日常培训教育、应急演练等运行控制措施等。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80" w:lineRule="exact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cs="宋体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不可接受危险源：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触电伤害、火灾、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意外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伤害、中署</w:t>
            </w:r>
          </w:p>
          <w:p>
            <w:pPr>
              <w:spacing w:line="280" w:lineRule="exact"/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涉及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电器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不当造成触电，搬运货物造成的砸伤，吸烟乱扔烟头导致火灾，上下班途中交通危险，电器短路或使用时间过长散热不良，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周边疫情风险控制、避免高温作业等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主要控制措施：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危险源控制执行管理方案、配备消防器材、日常检查、日常培训教育、应急演练等运行控制措施等。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《中华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人民共和国环境保护法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《中华人民共和国消防法》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人民共和国固体废物污染环境防治法》《福建省火灾高危单位消防安全管理规定》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《福建省环境保护条例》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中华人民共和国传染病防治法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用电安全导则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劳动防护用品管理规定》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Theme="minorEastAsia"/>
                <w:b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产品标准：同下栏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检验和试验项目及要求参考以下标准并按客户要求执行：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4291330" cy="997585"/>
                  <wp:effectExtent l="0" t="0" r="13970" b="12065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33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232410</wp:posOffset>
                  </wp:positionV>
                  <wp:extent cx="1064260" cy="407035"/>
                  <wp:effectExtent l="0" t="0" r="2540" b="12065"/>
                  <wp:wrapNone/>
                  <wp:docPr id="5" name="图片 2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2021.12.12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152400</wp:posOffset>
                  </wp:positionV>
                  <wp:extent cx="1064260" cy="407035"/>
                  <wp:effectExtent l="0" t="0" r="2540" b="12065"/>
                  <wp:wrapNone/>
                  <wp:docPr id="6" name="图片 2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2021.12.12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5720DB9"/>
    <w:rsid w:val="1F3E3958"/>
    <w:rsid w:val="23656B6C"/>
    <w:rsid w:val="28F8058C"/>
    <w:rsid w:val="2C8169CA"/>
    <w:rsid w:val="2E613F67"/>
    <w:rsid w:val="39637D06"/>
    <w:rsid w:val="47F162C8"/>
    <w:rsid w:val="4AD66DCF"/>
    <w:rsid w:val="4F684B19"/>
    <w:rsid w:val="577333C1"/>
    <w:rsid w:val="58DE7204"/>
    <w:rsid w:val="59DF1FCA"/>
    <w:rsid w:val="61343CED"/>
    <w:rsid w:val="6C8D3C1B"/>
    <w:rsid w:val="6CBC4C38"/>
    <w:rsid w:val="74172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25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2021-12-20T05:34:52Z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