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9"/>
        <w:gridCol w:w="717"/>
        <w:gridCol w:w="12258"/>
        <w:gridCol w:w="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189"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717" w:type="dxa"/>
            <w:vMerge w:val="restart"/>
            <w:vAlign w:val="center"/>
          </w:tcPr>
          <w:p>
            <w:pPr>
              <w:rPr>
                <w:sz w:val="24"/>
                <w:szCs w:val="24"/>
              </w:rPr>
            </w:pPr>
            <w:r>
              <w:rPr>
                <w:rFonts w:hint="eastAsia"/>
                <w:sz w:val="24"/>
                <w:szCs w:val="24"/>
              </w:rPr>
              <w:t>涉及</w:t>
            </w:r>
          </w:p>
          <w:p>
            <w:r>
              <w:rPr>
                <w:rFonts w:hint="eastAsia"/>
                <w:sz w:val="24"/>
                <w:szCs w:val="24"/>
              </w:rPr>
              <w:t>条款</w:t>
            </w:r>
          </w:p>
        </w:tc>
        <w:tc>
          <w:tcPr>
            <w:tcW w:w="12258" w:type="dxa"/>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val="en-US" w:eastAsia="zh-CN"/>
              </w:rPr>
              <w:t xml:space="preserve">管理层           </w:t>
            </w:r>
            <w:r>
              <w:rPr>
                <w:rFonts w:hint="eastAsia"/>
                <w:sz w:val="24"/>
                <w:szCs w:val="24"/>
              </w:rPr>
              <w:t>主管领导：</w:t>
            </w:r>
            <w:r>
              <w:rPr>
                <w:rFonts w:hint="eastAsia"/>
                <w:sz w:val="24"/>
                <w:szCs w:val="24"/>
                <w:lang w:eastAsia="zh-CN"/>
              </w:rPr>
              <w:t>乔学斌、邢金辉</w:t>
            </w:r>
            <w:r>
              <w:rPr>
                <w:rFonts w:hint="eastAsia"/>
                <w:sz w:val="24"/>
                <w:szCs w:val="24"/>
                <w:lang w:val="en-US" w:eastAsia="zh-CN"/>
              </w:rPr>
              <w:t xml:space="preserve">      </w:t>
            </w:r>
            <w:r>
              <w:rPr>
                <w:rFonts w:hint="eastAsia"/>
                <w:sz w:val="24"/>
                <w:szCs w:val="24"/>
              </w:rPr>
              <w:t>陪同人员：</w:t>
            </w:r>
            <w:r>
              <w:rPr>
                <w:rFonts w:hint="eastAsia"/>
                <w:sz w:val="24"/>
                <w:szCs w:val="24"/>
                <w:lang w:val="en-US" w:eastAsia="zh-CN"/>
              </w:rPr>
              <w:t>殷在学</w:t>
            </w:r>
          </w:p>
        </w:tc>
        <w:tc>
          <w:tcPr>
            <w:tcW w:w="730"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189" w:type="dxa"/>
            <w:vMerge w:val="continue"/>
            <w:vAlign w:val="center"/>
          </w:tcPr>
          <w:p/>
        </w:tc>
        <w:tc>
          <w:tcPr>
            <w:tcW w:w="717" w:type="dxa"/>
            <w:vMerge w:val="continue"/>
            <w:vAlign w:val="center"/>
          </w:tcPr>
          <w:p/>
        </w:tc>
        <w:tc>
          <w:tcPr>
            <w:tcW w:w="12258" w:type="dxa"/>
            <w:vAlign w:val="center"/>
          </w:tcPr>
          <w:p>
            <w:pPr>
              <w:spacing w:before="120"/>
            </w:pPr>
            <w:r>
              <w:rPr>
                <w:rFonts w:hint="eastAsia"/>
                <w:sz w:val="24"/>
                <w:szCs w:val="24"/>
              </w:rPr>
              <w:t>审核员：</w:t>
            </w:r>
            <w:bookmarkStart w:id="0" w:name="审核组成员不含组长"/>
            <w:r>
              <w:rPr>
                <w:rFonts w:hint="eastAsia"/>
                <w:sz w:val="24"/>
                <w:szCs w:val="24"/>
                <w:lang w:val="en-US" w:eastAsia="zh-CN"/>
              </w:rPr>
              <w:t>汪桂丽、</w:t>
            </w:r>
            <w:r>
              <w:rPr>
                <w:rFonts w:hint="eastAsia"/>
                <w:sz w:val="24"/>
                <w:szCs w:val="24"/>
              </w:rPr>
              <w:t>刘思顺</w:t>
            </w:r>
            <w:bookmarkEnd w:id="0"/>
            <w:r>
              <w:rPr>
                <w:rFonts w:hint="eastAsia"/>
                <w:sz w:val="24"/>
                <w:szCs w:val="24"/>
                <w:lang w:val="en-US" w:eastAsia="zh-CN"/>
              </w:rPr>
              <w:t xml:space="preserve">        </w:t>
            </w:r>
            <w:r>
              <w:rPr>
                <w:rFonts w:hint="eastAsia"/>
                <w:sz w:val="24"/>
                <w:szCs w:val="24"/>
              </w:rPr>
              <w:t>审核时间：</w:t>
            </w:r>
            <w:bookmarkStart w:id="1" w:name="审核日期"/>
            <w:r>
              <w:t>2021年12月</w:t>
            </w:r>
            <w:r>
              <w:rPr>
                <w:rFonts w:hint="eastAsia"/>
                <w:lang w:val="en-US" w:eastAsia="zh-CN"/>
              </w:rPr>
              <w:t>11</w:t>
            </w:r>
            <w:r>
              <w:t>日 下午</w:t>
            </w:r>
            <w:bookmarkEnd w:id="1"/>
          </w:p>
        </w:tc>
        <w:tc>
          <w:tcPr>
            <w:tcW w:w="73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189" w:type="dxa"/>
            <w:vMerge w:val="continue"/>
            <w:vAlign w:val="center"/>
          </w:tcPr>
          <w:p/>
        </w:tc>
        <w:tc>
          <w:tcPr>
            <w:tcW w:w="717" w:type="dxa"/>
            <w:vMerge w:val="continue"/>
            <w:vAlign w:val="center"/>
          </w:tcPr>
          <w:p/>
        </w:tc>
        <w:tc>
          <w:tcPr>
            <w:tcW w:w="12258" w:type="dxa"/>
            <w:vAlign w:val="center"/>
          </w:tcPr>
          <w:p>
            <w:pPr>
              <w:rPr>
                <w:rFonts w:hint="eastAsia"/>
              </w:rPr>
            </w:pPr>
            <w:r>
              <w:rPr>
                <w:rFonts w:hint="eastAsia"/>
              </w:rPr>
              <w:t>审核条款：</w:t>
            </w:r>
          </w:p>
          <w:p>
            <w:pPr>
              <w:adjustRightInd w:val="0"/>
              <w:snapToGrid w:val="0"/>
              <w:ind w:right="105" w:rightChars="50"/>
              <w:textAlignment w:val="baseline"/>
              <w:rPr>
                <w:rFonts w:ascii="宋体" w:hAnsi="宋体" w:cs="Arial"/>
                <w:spacing w:val="-6"/>
                <w:sz w:val="21"/>
                <w:szCs w:val="21"/>
              </w:rPr>
            </w:pPr>
            <w:r>
              <w:rPr>
                <w:rFonts w:hint="eastAsia" w:ascii="宋体" w:hAnsi="宋体" w:cs="Arial"/>
                <w:spacing w:val="-6"/>
                <w:sz w:val="21"/>
                <w:szCs w:val="21"/>
              </w:rPr>
              <w:t>4.1理解组织及其环境、4.2理解相关方的需求和期望、4.3 确定管理体系的范围、4.4</w:t>
            </w:r>
            <w:r>
              <w:rPr>
                <w:rFonts w:hint="eastAsia" w:ascii="宋体" w:hAnsi="宋体" w:cs="Arial"/>
                <w:spacing w:val="-6"/>
                <w:sz w:val="21"/>
                <w:szCs w:val="21"/>
                <w:lang w:eastAsia="zh-CN"/>
              </w:rPr>
              <w:t>质量</w:t>
            </w:r>
            <w:r>
              <w:rPr>
                <w:rFonts w:hint="eastAsia" w:ascii="宋体" w:hAnsi="宋体" w:cs="Arial"/>
                <w:spacing w:val="-6"/>
                <w:sz w:val="21"/>
                <w:szCs w:val="21"/>
              </w:rPr>
              <w:t>管理体系及其过程、5.1领导作用和承诺、5.2</w:t>
            </w:r>
            <w:r>
              <w:rPr>
                <w:rFonts w:hint="eastAsia" w:ascii="宋体" w:hAnsi="宋体" w:cs="Arial"/>
                <w:spacing w:val="-6"/>
                <w:sz w:val="21"/>
                <w:szCs w:val="21"/>
                <w:lang w:eastAsia="zh-CN"/>
              </w:rPr>
              <w:t>质量</w:t>
            </w:r>
            <w:r>
              <w:rPr>
                <w:rFonts w:hint="eastAsia" w:ascii="宋体" w:hAnsi="宋体" w:cs="Arial"/>
                <w:spacing w:val="-6"/>
                <w:sz w:val="21"/>
                <w:szCs w:val="21"/>
              </w:rPr>
              <w:t>方针、5.3组织的岗位、职责和权限、6.1应对风险和机遇的措施、6.2</w:t>
            </w:r>
            <w:r>
              <w:rPr>
                <w:rFonts w:hint="eastAsia" w:ascii="宋体" w:hAnsi="宋体" w:cs="Arial"/>
                <w:spacing w:val="-6"/>
                <w:sz w:val="21"/>
                <w:szCs w:val="21"/>
                <w:lang w:eastAsia="zh-CN"/>
              </w:rPr>
              <w:t>质量</w:t>
            </w:r>
            <w:r>
              <w:rPr>
                <w:rFonts w:hint="eastAsia" w:ascii="宋体" w:hAnsi="宋体" w:cs="Arial"/>
                <w:spacing w:val="-6"/>
                <w:sz w:val="21"/>
                <w:szCs w:val="21"/>
              </w:rPr>
              <w:t>目标及其实现的策划、6.3变更的策划、7.1.1资源总则、7.4沟通、9.3管理评审、10.1改进、10.3持续改进</w:t>
            </w:r>
          </w:p>
          <w:p>
            <w:pPr>
              <w:ind w:firstLine="396" w:firstLineChars="200"/>
            </w:pPr>
            <w:r>
              <w:rPr>
                <w:rFonts w:hint="eastAsia" w:ascii="宋体" w:hAnsi="宋体" w:cs="Arial"/>
                <w:spacing w:val="-6"/>
                <w:sz w:val="21"/>
                <w:szCs w:val="21"/>
              </w:rPr>
              <w:t>国家/地方监督抽查情况；顾客满意、相关方投诉及处理情况；上次审核不符合验证，变更，验证企业相关资质证明的有效性；</w:t>
            </w:r>
          </w:p>
        </w:tc>
        <w:tc>
          <w:tcPr>
            <w:tcW w:w="73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189" w:type="dxa"/>
            <w:vAlign w:val="top"/>
          </w:tcPr>
          <w:p>
            <w:pPr>
              <w:spacing w:line="2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理解组织及其环境</w:t>
            </w:r>
          </w:p>
          <w:p>
            <w:pPr>
              <w:spacing w:line="280" w:lineRule="exact"/>
              <w:rPr>
                <w:rFonts w:cs="宋体" w:asciiTheme="minorEastAsia" w:hAnsiTheme="minorEastAsia" w:eastAsiaTheme="minorEastAsia"/>
                <w:szCs w:val="21"/>
              </w:rPr>
            </w:pPr>
          </w:p>
          <w:p>
            <w:pPr>
              <w:spacing w:line="280" w:lineRule="exact"/>
              <w:rPr>
                <w:rFonts w:cs="宋体" w:asciiTheme="minorEastAsia" w:hAnsiTheme="minorEastAsia" w:eastAsiaTheme="minorEastAsia"/>
                <w:kern w:val="2"/>
                <w:sz w:val="24"/>
                <w:szCs w:val="24"/>
                <w:lang w:val="en-US" w:eastAsia="zh-CN" w:bidi="ar-SA"/>
              </w:rPr>
            </w:pPr>
          </w:p>
        </w:tc>
        <w:tc>
          <w:tcPr>
            <w:tcW w:w="717" w:type="dxa"/>
            <w:vAlign w:val="top"/>
          </w:tcPr>
          <w:p>
            <w:pPr>
              <w:spacing w:line="2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4.1</w:t>
            </w:r>
          </w:p>
          <w:p>
            <w:pPr>
              <w:spacing w:line="280" w:lineRule="exact"/>
              <w:rPr>
                <w:rFonts w:cs="宋体" w:asciiTheme="minorEastAsia" w:hAnsiTheme="minorEastAsia" w:eastAsiaTheme="minorEastAsia"/>
                <w:kern w:val="2"/>
                <w:sz w:val="24"/>
                <w:szCs w:val="24"/>
                <w:lang w:val="en-US" w:eastAsia="zh-CN" w:bidi="ar-SA"/>
              </w:rPr>
            </w:pPr>
          </w:p>
        </w:tc>
        <w:tc>
          <w:tcPr>
            <w:tcW w:w="12258" w:type="dxa"/>
            <w:vAlign w:val="center"/>
          </w:tcPr>
          <w:p>
            <w:pPr>
              <w:spacing w:line="280" w:lineRule="exact"/>
              <w:ind w:firstLine="420" w:firstLineChars="200"/>
              <w:rPr>
                <w:rFonts w:hint="default"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rPr>
              <w:t>公司高层领导</w:t>
            </w:r>
            <w:r>
              <w:rPr>
                <w:rFonts w:hint="eastAsia" w:cs="宋体" w:asciiTheme="minorEastAsia" w:hAnsiTheme="minorEastAsia" w:eastAsiaTheme="minorEastAsia"/>
                <w:sz w:val="21"/>
                <w:szCs w:val="21"/>
                <w:lang w:eastAsia="zh-CN"/>
              </w:rPr>
              <w:t>：</w:t>
            </w:r>
            <w:r>
              <w:rPr>
                <w:rFonts w:hint="eastAsia" w:cs="宋体" w:asciiTheme="minorEastAsia" w:hAnsiTheme="minorEastAsia" w:eastAsiaTheme="minorEastAsia"/>
                <w:sz w:val="21"/>
                <w:szCs w:val="21"/>
                <w:lang w:val="en-US" w:eastAsia="zh-CN"/>
              </w:rPr>
              <w:t>设置</w:t>
            </w:r>
            <w:r>
              <w:rPr>
                <w:rFonts w:hint="eastAsia" w:cs="宋体" w:asciiTheme="minorEastAsia" w:hAnsiTheme="minorEastAsia" w:eastAsiaTheme="minorEastAsia"/>
                <w:sz w:val="21"/>
                <w:szCs w:val="21"/>
              </w:rPr>
              <w:t>总经理</w:t>
            </w:r>
            <w:r>
              <w:rPr>
                <w:rFonts w:hint="eastAsia" w:cs="宋体" w:asciiTheme="minorEastAsia" w:hAnsiTheme="minorEastAsia" w:eastAsiaTheme="minorEastAsia"/>
                <w:sz w:val="21"/>
                <w:szCs w:val="21"/>
                <w:lang w:val="en-US" w:eastAsia="zh-CN"/>
              </w:rPr>
              <w:t>及管理者代表，有管理者代表任命2021年7月1日，有任命书；</w:t>
            </w:r>
          </w:p>
          <w:p>
            <w:pPr>
              <w:spacing w:line="280" w:lineRule="exact"/>
              <w:ind w:firstLine="420" w:firstLineChars="2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提供营业执照在有效期内，地址和实际一致，包含认证范围。</w:t>
            </w:r>
          </w:p>
          <w:p>
            <w:pPr>
              <w:spacing w:line="280" w:lineRule="exact"/>
              <w:ind w:firstLine="420" w:firstLineChars="200"/>
              <w:rPr>
                <w:rFonts w:hint="eastAsia" w:eastAsiaTheme="minorEastAsia"/>
                <w:sz w:val="21"/>
                <w:szCs w:val="21"/>
                <w:lang w:eastAsia="zh-CN"/>
              </w:rPr>
            </w:pPr>
            <w:r>
              <w:rPr>
                <w:rFonts w:hint="eastAsia" w:cs="宋体" w:asciiTheme="minorEastAsia" w:hAnsiTheme="minorEastAsia" w:eastAsiaTheme="minorEastAsia"/>
                <w:sz w:val="21"/>
                <w:szCs w:val="21"/>
              </w:rPr>
              <w:t>认证范围确定为：</w:t>
            </w:r>
            <w:r>
              <w:rPr>
                <w:rFonts w:cs="宋体" w:asciiTheme="minorEastAsia" w:hAnsiTheme="minorEastAsia" w:eastAsiaTheme="minorEastAsia"/>
                <w:sz w:val="21"/>
                <w:szCs w:val="21"/>
              </w:rPr>
              <w:t>Q：</w:t>
            </w:r>
            <w:bookmarkStart w:id="2" w:name="审核范围"/>
            <w:r>
              <w:rPr>
                <w:sz w:val="20"/>
              </w:rPr>
              <w:t>建筑废弃物资源化综合利用</w:t>
            </w:r>
            <w:bookmarkEnd w:id="2"/>
          </w:p>
          <w:p>
            <w:pPr>
              <w:spacing w:line="280" w:lineRule="exact"/>
              <w:ind w:firstLine="420" w:firstLineChars="200"/>
              <w:rPr>
                <w:rFonts w:hint="default"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rPr>
              <w:t>管理体系设置了管理层、</w:t>
            </w:r>
            <w:r>
              <w:rPr>
                <w:rFonts w:hint="eastAsia" w:cs="宋体" w:asciiTheme="minorEastAsia" w:hAnsiTheme="minorEastAsia" w:eastAsiaTheme="minorEastAsia"/>
                <w:sz w:val="21"/>
                <w:szCs w:val="21"/>
                <w:lang w:val="en-US" w:eastAsia="zh-CN"/>
              </w:rPr>
              <w:t>营销部、</w:t>
            </w:r>
            <w:r>
              <w:rPr>
                <w:rFonts w:hint="eastAsia" w:cs="宋体" w:asciiTheme="minorEastAsia" w:hAnsiTheme="minorEastAsia" w:eastAsiaTheme="minorEastAsia"/>
                <w:sz w:val="21"/>
                <w:szCs w:val="21"/>
              </w:rPr>
              <w:t>生产部</w:t>
            </w:r>
            <w:r>
              <w:rPr>
                <w:rFonts w:hint="eastAsia" w:cs="宋体" w:asciiTheme="minorEastAsia" w:hAnsiTheme="minorEastAsia" w:eastAsiaTheme="minorEastAsia"/>
                <w:sz w:val="21"/>
                <w:szCs w:val="21"/>
                <w:lang w:eastAsia="zh-CN"/>
              </w:rPr>
              <w:t>、</w:t>
            </w:r>
            <w:r>
              <w:rPr>
                <w:rFonts w:hint="eastAsia" w:cs="宋体" w:asciiTheme="minorEastAsia" w:hAnsiTheme="minorEastAsia" w:eastAsiaTheme="minorEastAsia"/>
                <w:sz w:val="21"/>
                <w:szCs w:val="21"/>
                <w:lang w:val="en-US" w:eastAsia="zh-CN"/>
              </w:rPr>
              <w:t>技质部、综合办，明确</w:t>
            </w:r>
            <w:r>
              <w:rPr>
                <w:rFonts w:hint="eastAsia" w:cs="宋体" w:asciiTheme="minorEastAsia" w:hAnsiTheme="minorEastAsia" w:eastAsiaTheme="minorEastAsia"/>
                <w:sz w:val="21"/>
                <w:szCs w:val="21"/>
              </w:rPr>
              <w:t>部门职责</w:t>
            </w:r>
            <w:r>
              <w:rPr>
                <w:rFonts w:hint="eastAsia" w:cs="宋体" w:asciiTheme="minorEastAsia" w:hAnsiTheme="minorEastAsia" w:eastAsiaTheme="minorEastAsia"/>
                <w:sz w:val="21"/>
                <w:szCs w:val="21"/>
                <w:lang w:val="en-US" w:eastAsia="zh-CN"/>
              </w:rPr>
              <w:t>和权限，</w:t>
            </w:r>
            <w:r>
              <w:rPr>
                <w:rFonts w:hint="eastAsia" w:cs="宋体" w:asciiTheme="minorEastAsia" w:hAnsiTheme="minorEastAsia" w:eastAsiaTheme="minorEastAsia"/>
                <w:sz w:val="21"/>
                <w:szCs w:val="21"/>
              </w:rPr>
              <w:t>认证主管部门：</w:t>
            </w:r>
            <w:r>
              <w:rPr>
                <w:rFonts w:hint="eastAsia" w:cs="宋体" w:asciiTheme="minorEastAsia" w:hAnsiTheme="minorEastAsia" w:eastAsiaTheme="minorEastAsia"/>
                <w:sz w:val="21"/>
                <w:szCs w:val="21"/>
                <w:lang w:val="en-US" w:eastAsia="zh-CN"/>
              </w:rPr>
              <w:t>综合办</w:t>
            </w:r>
          </w:p>
          <w:p>
            <w:pPr>
              <w:spacing w:line="280" w:lineRule="exact"/>
              <w:ind w:firstLine="420" w:firstLineChars="200"/>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总经理确定与公司管理目标和战略方向相关并影响实现管理体系预期结果的各种内部因素和外部因素</w:t>
            </w:r>
            <w:r>
              <w:rPr>
                <w:rFonts w:hint="eastAsia" w:cs="宋体" w:asciiTheme="minorEastAsia" w:hAnsiTheme="minorEastAsia" w:eastAsiaTheme="minorEastAsia"/>
                <w:sz w:val="21"/>
                <w:szCs w:val="21"/>
                <w:lang w:eastAsia="zh-CN"/>
              </w:rPr>
              <w:t>，</w:t>
            </w:r>
            <w:r>
              <w:rPr>
                <w:rFonts w:hint="eastAsia" w:cs="宋体" w:asciiTheme="minorEastAsia" w:hAnsiTheme="minorEastAsia" w:eastAsiaTheme="minorEastAsia"/>
                <w:sz w:val="21"/>
                <w:szCs w:val="21"/>
              </w:rPr>
              <w:t>这些因素包括了需要考虑的正面和负面因素或条件。</w:t>
            </w:r>
          </w:p>
          <w:p>
            <w:pPr>
              <w:spacing w:line="280" w:lineRule="exact"/>
              <w:ind w:firstLine="420" w:firstLineChars="200"/>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sz w:val="21"/>
                <w:szCs w:val="21"/>
              </w:rPr>
              <w:t>公司</w:t>
            </w:r>
            <w:r>
              <w:rPr>
                <w:rFonts w:hint="eastAsia" w:cs="宋体" w:asciiTheme="minorEastAsia" w:hAnsiTheme="minorEastAsia" w:eastAsiaTheme="minorEastAsia"/>
                <w:sz w:val="21"/>
                <w:szCs w:val="21"/>
                <w:lang w:eastAsia="zh-CN"/>
              </w:rPr>
              <w:t>市场部</w:t>
            </w:r>
            <w:r>
              <w:rPr>
                <w:rFonts w:hint="eastAsia" w:cs="宋体" w:asciiTheme="minorEastAsia" w:hAnsiTheme="minorEastAsia" w:eastAsiaTheme="minorEastAsia"/>
                <w:sz w:val="21"/>
                <w:szCs w:val="21"/>
              </w:rPr>
              <w:t>根据公司销售等外出人员从市场、客户、网络等搜集到的信息并结合公司自身业务运作情况进行分析，通过分析对这些内部和外部因素的相关信息进行监视和评审以确保其充分和适宜。</w:t>
            </w:r>
          </w:p>
        </w:tc>
        <w:tc>
          <w:tcPr>
            <w:tcW w:w="730"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8" w:hRule="atLeast"/>
        </w:trPr>
        <w:tc>
          <w:tcPr>
            <w:tcW w:w="1189" w:type="dxa"/>
            <w:vAlign w:val="top"/>
          </w:tcPr>
          <w:p>
            <w:pPr>
              <w:spacing w:line="2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理解相关方的需求和期望</w:t>
            </w:r>
          </w:p>
          <w:p>
            <w:pPr>
              <w:spacing w:line="280" w:lineRule="exact"/>
              <w:rPr>
                <w:rFonts w:cs="宋体" w:asciiTheme="minorEastAsia" w:hAnsiTheme="minorEastAsia" w:eastAsiaTheme="minorEastAsia"/>
                <w:kern w:val="2"/>
                <w:sz w:val="24"/>
                <w:szCs w:val="24"/>
                <w:lang w:val="en-US" w:eastAsia="zh-CN" w:bidi="ar-SA"/>
              </w:rPr>
            </w:pPr>
          </w:p>
        </w:tc>
        <w:tc>
          <w:tcPr>
            <w:tcW w:w="717" w:type="dxa"/>
            <w:vAlign w:val="top"/>
          </w:tcPr>
          <w:p>
            <w:pPr>
              <w:spacing w:line="280" w:lineRule="exact"/>
              <w:rPr>
                <w:rFonts w:cs="宋体" w:asciiTheme="minorEastAsia" w:hAnsiTheme="minorEastAsia" w:eastAsiaTheme="minorEastAsia"/>
                <w:szCs w:val="21"/>
              </w:rPr>
            </w:pP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4.2</w:t>
            </w:r>
          </w:p>
          <w:p>
            <w:pPr>
              <w:spacing w:line="280" w:lineRule="exact"/>
              <w:rPr>
                <w:rFonts w:cs="宋体" w:asciiTheme="minorEastAsia" w:hAnsiTheme="minorEastAsia" w:eastAsiaTheme="minorEastAsia"/>
                <w:kern w:val="2"/>
                <w:sz w:val="24"/>
                <w:szCs w:val="24"/>
                <w:lang w:val="en-US" w:eastAsia="zh-CN" w:bidi="ar-SA"/>
              </w:rPr>
            </w:pPr>
          </w:p>
        </w:tc>
        <w:tc>
          <w:tcPr>
            <w:tcW w:w="12258" w:type="dxa"/>
            <w:vAlign w:val="center"/>
          </w:tcPr>
          <w:p>
            <w:pPr>
              <w:spacing w:line="280" w:lineRule="exact"/>
              <w:ind w:firstLine="420" w:firstLineChars="200"/>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公司确定与管理体系有关的相关方，公司特别是关注外部供方和顾客；这些相关方的要求；这些要求和期望中哪些会成为合规义务，公司对这些相关方及其要求的相关信息进行监视和评审，以便于理解和持续满足相关方的需求和期望。</w:t>
            </w:r>
          </w:p>
          <w:p>
            <w:pPr>
              <w:spacing w:line="280" w:lineRule="exact"/>
              <w:ind w:firstLine="420" w:firstLineChars="200"/>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公司理解相关方的需求和期望，建立了管理方针和目标并分解落实，以满足相关方的要求并争取做到更高的期望值。</w:t>
            </w:r>
          </w:p>
          <w:p>
            <w:pPr>
              <w:spacing w:line="280" w:lineRule="exact"/>
              <w:ind w:firstLine="420" w:firstLineChars="200"/>
              <w:rPr>
                <w:rFonts w:hint="eastAsia" w:cs="宋体" w:asciiTheme="minorEastAsia" w:hAnsiTheme="minorEastAsia" w:eastAsiaTheme="minorEastAsia"/>
                <w:kern w:val="2"/>
                <w:sz w:val="21"/>
                <w:szCs w:val="21"/>
                <w:lang w:val="en-US" w:eastAsia="zh-CN" w:bidi="ar-SA"/>
              </w:rPr>
            </w:pPr>
          </w:p>
        </w:tc>
        <w:tc>
          <w:tcPr>
            <w:tcW w:w="730"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2" w:hRule="atLeast"/>
        </w:trPr>
        <w:tc>
          <w:tcPr>
            <w:tcW w:w="1189" w:type="dxa"/>
            <w:vAlign w:val="top"/>
          </w:tcPr>
          <w:p>
            <w:pPr>
              <w:spacing w:line="2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确定管理体系的范围</w:t>
            </w:r>
          </w:p>
          <w:p>
            <w:pPr>
              <w:spacing w:line="280" w:lineRule="exact"/>
              <w:rPr>
                <w:rFonts w:cs="宋体" w:asciiTheme="minorEastAsia" w:hAnsiTheme="minorEastAsia" w:eastAsiaTheme="minorEastAsia"/>
                <w:kern w:val="2"/>
                <w:sz w:val="24"/>
                <w:szCs w:val="24"/>
                <w:lang w:val="en-US" w:eastAsia="zh-CN" w:bidi="ar-SA"/>
              </w:rPr>
            </w:pPr>
          </w:p>
        </w:tc>
        <w:tc>
          <w:tcPr>
            <w:tcW w:w="717" w:type="dxa"/>
            <w:vAlign w:val="top"/>
          </w:tcPr>
          <w:p>
            <w:pPr>
              <w:spacing w:line="2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 4.3</w:t>
            </w:r>
          </w:p>
          <w:p>
            <w:pPr>
              <w:spacing w:line="280" w:lineRule="exact"/>
              <w:rPr>
                <w:rFonts w:cs="宋体" w:asciiTheme="minorEastAsia" w:hAnsiTheme="minorEastAsia" w:eastAsiaTheme="minorEastAsia"/>
                <w:kern w:val="2"/>
                <w:sz w:val="24"/>
                <w:szCs w:val="24"/>
                <w:lang w:val="en-US" w:eastAsia="zh-CN" w:bidi="ar-SA"/>
              </w:rPr>
            </w:pPr>
          </w:p>
        </w:tc>
        <w:tc>
          <w:tcPr>
            <w:tcW w:w="12258" w:type="dxa"/>
            <w:vAlign w:val="center"/>
          </w:tcPr>
          <w:p>
            <w:pPr>
              <w:spacing w:line="280" w:lineRule="exact"/>
              <w:ind w:firstLine="420" w:firstLineChars="200"/>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确定</w:t>
            </w:r>
            <w:r>
              <w:rPr>
                <w:rFonts w:hint="eastAsia" w:cs="宋体" w:asciiTheme="minorEastAsia" w:hAnsiTheme="minorEastAsia" w:eastAsiaTheme="minorEastAsia"/>
                <w:sz w:val="21"/>
                <w:szCs w:val="21"/>
                <w:lang w:val="en-US" w:eastAsia="zh-CN"/>
              </w:rPr>
              <w:t>质量</w:t>
            </w:r>
            <w:r>
              <w:rPr>
                <w:rFonts w:hint="eastAsia" w:cs="宋体" w:asciiTheme="minorEastAsia" w:hAnsiTheme="minorEastAsia" w:eastAsiaTheme="minorEastAsia"/>
                <w:sz w:val="21"/>
                <w:szCs w:val="21"/>
              </w:rPr>
              <w:t>管理体系范围时考虑内容：</w:t>
            </w:r>
          </w:p>
          <w:p>
            <w:pPr>
              <w:spacing w:line="280" w:lineRule="exact"/>
              <w:ind w:firstLine="420" w:firstLineChars="2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各种内部和外部因素；相关方的要求，包括相关合规义务；组织的活动、产品和产品；其组织单元、职能和物理边界。</w:t>
            </w:r>
          </w:p>
          <w:p>
            <w:pPr>
              <w:spacing w:line="280" w:lineRule="exact"/>
              <w:ind w:firstLine="420" w:firstLineChars="200"/>
              <w:rPr>
                <w:rFonts w:hint="eastAsia" w:eastAsiaTheme="minorEastAsia"/>
                <w:sz w:val="21"/>
                <w:szCs w:val="21"/>
                <w:lang w:eastAsia="zh-CN"/>
              </w:rPr>
            </w:pPr>
            <w:r>
              <w:rPr>
                <w:rFonts w:hint="eastAsia" w:cs="宋体" w:asciiTheme="minorEastAsia" w:hAnsiTheme="minorEastAsia" w:eastAsiaTheme="minorEastAsia"/>
                <w:sz w:val="21"/>
                <w:szCs w:val="21"/>
              </w:rPr>
              <w:t>公司</w:t>
            </w:r>
            <w:r>
              <w:rPr>
                <w:rFonts w:hint="eastAsia" w:cs="宋体" w:asciiTheme="minorEastAsia" w:hAnsiTheme="minorEastAsia" w:eastAsiaTheme="minorEastAsia"/>
                <w:sz w:val="21"/>
                <w:szCs w:val="21"/>
                <w:lang w:val="en-US" w:eastAsia="zh-CN"/>
              </w:rPr>
              <w:t>质量</w:t>
            </w:r>
            <w:r>
              <w:rPr>
                <w:rFonts w:hint="eastAsia" w:cs="宋体" w:asciiTheme="minorEastAsia" w:hAnsiTheme="minorEastAsia" w:eastAsiaTheme="minorEastAsia"/>
                <w:sz w:val="21"/>
                <w:szCs w:val="21"/>
              </w:rPr>
              <w:t>管理体系范围：</w:t>
            </w:r>
            <w:r>
              <w:rPr>
                <w:sz w:val="20"/>
              </w:rPr>
              <w:t>建筑废弃物资源化综合利用</w:t>
            </w:r>
          </w:p>
          <w:p>
            <w:pPr>
              <w:spacing w:line="280" w:lineRule="exact"/>
              <w:ind w:firstLine="420" w:firstLineChars="200"/>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sz w:val="21"/>
                <w:szCs w:val="21"/>
              </w:rPr>
              <w:t>外包情况：</w:t>
            </w:r>
            <w:r>
              <w:rPr>
                <w:rFonts w:hint="eastAsia" w:cs="宋体" w:asciiTheme="minorEastAsia" w:hAnsiTheme="minorEastAsia" w:eastAsiaTheme="minorEastAsia"/>
                <w:sz w:val="21"/>
                <w:szCs w:val="21"/>
                <w:lang w:val="en-US" w:eastAsia="zh-CN"/>
              </w:rPr>
              <w:t>无外包</w:t>
            </w:r>
            <w:r>
              <w:rPr>
                <w:rFonts w:hint="eastAsia" w:cs="宋体" w:asciiTheme="minorEastAsia" w:hAnsiTheme="minorEastAsia" w:eastAsiaTheme="minorEastAsia"/>
                <w:sz w:val="21"/>
                <w:szCs w:val="21"/>
              </w:rPr>
              <w:t>。</w:t>
            </w:r>
          </w:p>
        </w:tc>
        <w:tc>
          <w:tcPr>
            <w:tcW w:w="730"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0" w:hRule="atLeast"/>
        </w:trPr>
        <w:tc>
          <w:tcPr>
            <w:tcW w:w="1189" w:type="dxa"/>
            <w:vAlign w:val="top"/>
          </w:tcPr>
          <w:p>
            <w:pPr>
              <w:spacing w:line="2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管理体系及其过程</w:t>
            </w:r>
          </w:p>
          <w:p>
            <w:pPr>
              <w:spacing w:line="280" w:lineRule="exact"/>
              <w:rPr>
                <w:rFonts w:cs="宋体" w:asciiTheme="minorEastAsia" w:hAnsiTheme="minorEastAsia" w:eastAsiaTheme="minorEastAsia"/>
                <w:kern w:val="2"/>
                <w:sz w:val="24"/>
                <w:szCs w:val="24"/>
                <w:lang w:val="en-US" w:eastAsia="zh-CN" w:bidi="ar-SA"/>
              </w:rPr>
            </w:pPr>
          </w:p>
        </w:tc>
        <w:tc>
          <w:tcPr>
            <w:tcW w:w="717" w:type="dxa"/>
            <w:vAlign w:val="top"/>
          </w:tcPr>
          <w:p>
            <w:pPr>
              <w:spacing w:line="280" w:lineRule="exact"/>
              <w:rPr>
                <w:rFonts w:cs="宋体" w:asciiTheme="minorEastAsia" w:hAnsiTheme="minorEastAsia" w:eastAsiaTheme="minorEastAsia"/>
                <w:szCs w:val="21"/>
              </w:rPr>
            </w:pP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4.4</w:t>
            </w:r>
          </w:p>
          <w:p>
            <w:pPr>
              <w:spacing w:line="280" w:lineRule="exact"/>
              <w:rPr>
                <w:rFonts w:cs="宋体" w:asciiTheme="minorEastAsia" w:hAnsiTheme="minorEastAsia" w:eastAsiaTheme="minorEastAsia"/>
                <w:kern w:val="2"/>
                <w:sz w:val="24"/>
                <w:szCs w:val="24"/>
                <w:lang w:val="en-US" w:eastAsia="zh-CN" w:bidi="ar-SA"/>
              </w:rPr>
            </w:pPr>
          </w:p>
        </w:tc>
        <w:tc>
          <w:tcPr>
            <w:tcW w:w="12258" w:type="dxa"/>
            <w:vAlign w:val="center"/>
          </w:tcPr>
          <w:p>
            <w:pPr>
              <w:spacing w:line="280" w:lineRule="exact"/>
              <w:ind w:firstLine="420" w:firstLineChars="200"/>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公司确定管理体系及其过程；公司确定质量管理体系所需的过程及其在整个组织中的应用。</w:t>
            </w:r>
          </w:p>
          <w:p>
            <w:pPr>
              <w:spacing w:line="280" w:lineRule="exact"/>
              <w:ind w:firstLine="420" w:firstLineChars="2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公司确保按照质量管理体系标准要求建立、实施、保持和持续改进质量管理体系，包括所需过程及其相互作用。</w:t>
            </w:r>
          </w:p>
          <w:p>
            <w:pPr>
              <w:spacing w:line="280" w:lineRule="exact"/>
              <w:ind w:firstLine="420" w:firstLineChars="200"/>
              <w:rPr>
                <w:rFonts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sz w:val="21"/>
                <w:szCs w:val="21"/>
              </w:rPr>
              <w:t>公司按照标准建立了文件化的管理体系，</w:t>
            </w:r>
            <w:r>
              <w:rPr>
                <w:rFonts w:hint="eastAsia" w:cs="宋体" w:asciiTheme="minorEastAsia" w:hAnsiTheme="minorEastAsia" w:eastAsiaTheme="minorEastAsia"/>
                <w:sz w:val="21"/>
                <w:szCs w:val="21"/>
                <w:lang w:val="en-US" w:eastAsia="zh-CN"/>
              </w:rPr>
              <w:t>有</w:t>
            </w:r>
            <w:r>
              <w:rPr>
                <w:rFonts w:hint="eastAsia" w:cs="宋体" w:asciiTheme="minorEastAsia" w:hAnsiTheme="minorEastAsia" w:eastAsiaTheme="minorEastAsia"/>
                <w:sz w:val="21"/>
                <w:szCs w:val="21"/>
              </w:rPr>
              <w:t>管理手册，程序文件、管理制度，形成了相关文件化信息，为过程运行提供了支持，以证实过程按照策划执行</w:t>
            </w:r>
            <w:r>
              <w:rPr>
                <w:rFonts w:hint="eastAsia" w:cs="宋体" w:asciiTheme="minorEastAsia" w:hAnsiTheme="minorEastAsia" w:eastAsiaTheme="minorEastAsia"/>
                <w:sz w:val="21"/>
                <w:szCs w:val="21"/>
                <w:lang w:eastAsia="zh-CN"/>
              </w:rPr>
              <w:t>，</w:t>
            </w:r>
            <w:r>
              <w:rPr>
                <w:rFonts w:hint="eastAsia" w:cs="宋体" w:asciiTheme="minorEastAsia" w:hAnsiTheme="minorEastAsia" w:eastAsiaTheme="minorEastAsia"/>
                <w:sz w:val="21"/>
                <w:szCs w:val="21"/>
                <w:lang w:val="en-US" w:eastAsia="zh-CN"/>
              </w:rPr>
              <w:t>本阶段无更改</w:t>
            </w:r>
            <w:r>
              <w:rPr>
                <w:rFonts w:hint="eastAsia" w:cs="宋体" w:asciiTheme="minorEastAsia" w:hAnsiTheme="minorEastAsia" w:eastAsiaTheme="minorEastAsia"/>
                <w:sz w:val="21"/>
                <w:szCs w:val="21"/>
              </w:rPr>
              <w:t>。</w:t>
            </w:r>
          </w:p>
        </w:tc>
        <w:tc>
          <w:tcPr>
            <w:tcW w:w="730"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189" w:type="dxa"/>
            <w:vAlign w:val="top"/>
          </w:tcPr>
          <w:p>
            <w:pPr>
              <w:spacing w:line="280" w:lineRule="exact"/>
              <w:rPr>
                <w:rFonts w:hint="default"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szCs w:val="21"/>
                <w:lang w:val="en-US" w:eastAsia="zh-CN"/>
              </w:rPr>
              <w:t>领导作用和承诺</w:t>
            </w:r>
          </w:p>
        </w:tc>
        <w:tc>
          <w:tcPr>
            <w:tcW w:w="717" w:type="dxa"/>
            <w:vAlign w:val="top"/>
          </w:tcPr>
          <w:p>
            <w:pPr>
              <w:spacing w:line="280" w:lineRule="exact"/>
              <w:rPr>
                <w:rFonts w:hint="eastAsia" w:cs="宋体" w:asciiTheme="minorEastAsia" w:hAnsiTheme="minorEastAsia" w:eastAsiaTheme="minorEastAsia"/>
                <w:szCs w:val="21"/>
                <w:lang w:val="en-US" w:eastAsia="zh-CN"/>
              </w:rPr>
            </w:pP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5.</w:t>
            </w:r>
            <w:r>
              <w:rPr>
                <w:rFonts w:hint="eastAsia" w:cs="宋体" w:asciiTheme="minorEastAsia" w:hAnsiTheme="minorEastAsia" w:eastAsiaTheme="minorEastAsia"/>
                <w:szCs w:val="21"/>
                <w:lang w:val="en-US" w:eastAsia="zh-CN"/>
              </w:rPr>
              <w:t>1</w:t>
            </w:r>
          </w:p>
          <w:p>
            <w:pPr>
              <w:spacing w:line="280" w:lineRule="exact"/>
              <w:rPr>
                <w:rFonts w:cs="宋体" w:asciiTheme="minorEastAsia" w:hAnsiTheme="minorEastAsia" w:eastAsiaTheme="minorEastAsia"/>
                <w:kern w:val="2"/>
                <w:sz w:val="24"/>
                <w:szCs w:val="24"/>
                <w:lang w:val="en-US" w:eastAsia="zh-CN" w:bidi="ar-SA"/>
              </w:rPr>
            </w:pPr>
          </w:p>
        </w:tc>
        <w:tc>
          <w:tcPr>
            <w:tcW w:w="12258" w:type="dxa"/>
            <w:vAlign w:val="center"/>
          </w:tcPr>
          <w:p>
            <w:pPr>
              <w:spacing w:line="280" w:lineRule="exact"/>
              <w:ind w:firstLine="420" w:firstLineChars="200"/>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lang w:val="en-US" w:eastAsia="zh-CN"/>
              </w:rPr>
              <w:t>现场交流，公司</w:t>
            </w:r>
            <w:r>
              <w:rPr>
                <w:rFonts w:hint="eastAsia" w:cs="宋体" w:asciiTheme="minorEastAsia" w:hAnsiTheme="minorEastAsia" w:eastAsiaTheme="minorEastAsia"/>
                <w:sz w:val="21"/>
                <w:szCs w:val="21"/>
              </w:rPr>
              <w:t>领导作用与承诺总经理通过以下方面证实其对质量管理体系的领导作用与承诺：</w:t>
            </w:r>
          </w:p>
          <w:p>
            <w:pPr>
              <w:spacing w:line="280" w:lineRule="exact"/>
              <w:ind w:firstLine="420" w:firstLineChars="200"/>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a）确保质量方针和质量目标得到建立，并与组织的战略方向保持一致；</w:t>
            </w:r>
          </w:p>
          <w:p>
            <w:pPr>
              <w:spacing w:line="280" w:lineRule="exact"/>
              <w:ind w:firstLine="420" w:firstLineChars="200"/>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b）确保质量方针在组织内得到理解和实施；</w:t>
            </w:r>
          </w:p>
          <w:p>
            <w:pPr>
              <w:spacing w:line="280" w:lineRule="exact"/>
              <w:ind w:firstLine="420" w:firstLineChars="200"/>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c）确保质量管理体系的要求纳入到组织的业务动作；</w:t>
            </w:r>
          </w:p>
          <w:p>
            <w:pPr>
              <w:spacing w:line="280" w:lineRule="exact"/>
              <w:ind w:firstLine="420" w:firstLineChars="200"/>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d）提高过程方法的意识；</w:t>
            </w:r>
          </w:p>
          <w:p>
            <w:pPr>
              <w:spacing w:line="280" w:lineRule="exact"/>
              <w:ind w:firstLine="420" w:firstLineChars="200"/>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e）确保质量管理体系所需的资源的获得；</w:t>
            </w:r>
          </w:p>
          <w:p>
            <w:pPr>
              <w:spacing w:line="280" w:lineRule="exact"/>
              <w:ind w:firstLine="420" w:firstLineChars="200"/>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f）传达有效的质量管理以及满足质量管理体系、产品和服务要求的重要性；</w:t>
            </w:r>
          </w:p>
          <w:p>
            <w:pPr>
              <w:spacing w:line="280" w:lineRule="exact"/>
              <w:ind w:firstLine="420" w:firstLineChars="200"/>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g）确保质量管理体系实现预期的输出；</w:t>
            </w:r>
          </w:p>
          <w:p>
            <w:pPr>
              <w:spacing w:line="280" w:lineRule="exact"/>
              <w:ind w:firstLine="420" w:firstLineChars="200"/>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h）吸纳、指导和支持员工参与对质量管理体系的有效性作出贡献；</w:t>
            </w:r>
          </w:p>
          <w:p>
            <w:pPr>
              <w:spacing w:line="280" w:lineRule="exact"/>
              <w:ind w:firstLine="420" w:firstLineChars="200"/>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i）增强持续改进和创新；</w:t>
            </w:r>
          </w:p>
          <w:p>
            <w:pPr>
              <w:spacing w:line="280" w:lineRule="exact"/>
              <w:ind w:firstLine="420" w:firstLineChars="200"/>
              <w:rPr>
                <w:rFonts w:hint="eastAsia" w:cs="宋体" w:asciiTheme="minorEastAsia" w:hAnsiTheme="minorEastAsia" w:eastAsiaTheme="minorEastAsia"/>
                <w:sz w:val="21"/>
                <w:szCs w:val="21"/>
                <w:lang w:val="en-US" w:eastAsia="zh-CN" w:bidi="ar-SA"/>
              </w:rPr>
            </w:pPr>
            <w:r>
              <w:rPr>
                <w:rFonts w:hint="eastAsia" w:cs="宋体" w:asciiTheme="minorEastAsia" w:hAnsiTheme="minorEastAsia" w:eastAsiaTheme="minorEastAsia"/>
                <w:sz w:val="21"/>
                <w:szCs w:val="21"/>
              </w:rPr>
              <w:t>j）支持其他的管理者在其负责的领域证实其领导作用。</w:t>
            </w:r>
          </w:p>
        </w:tc>
        <w:tc>
          <w:tcPr>
            <w:tcW w:w="730"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5" w:hRule="atLeast"/>
        </w:trPr>
        <w:tc>
          <w:tcPr>
            <w:tcW w:w="1189" w:type="dxa"/>
            <w:vAlign w:val="top"/>
          </w:tcPr>
          <w:p>
            <w:pPr>
              <w:spacing w:line="280" w:lineRule="exact"/>
              <w:rPr>
                <w:rFonts w:cs="宋体" w:asciiTheme="minorEastAsia" w:hAnsiTheme="minorEastAsia" w:eastAsiaTheme="minorEastAsia"/>
                <w:szCs w:val="21"/>
              </w:rPr>
            </w:pPr>
            <w:r>
              <w:rPr>
                <w:rFonts w:hint="eastAsia" w:cs="宋体" w:asciiTheme="minorEastAsia" w:hAnsiTheme="minorEastAsia" w:eastAsiaTheme="minorEastAsia"/>
                <w:szCs w:val="21"/>
                <w:lang w:val="en-US" w:eastAsia="zh-CN"/>
              </w:rPr>
              <w:t>质量</w:t>
            </w:r>
            <w:r>
              <w:rPr>
                <w:rFonts w:hint="eastAsia" w:cs="宋体" w:asciiTheme="minorEastAsia" w:hAnsiTheme="minorEastAsia" w:eastAsiaTheme="minorEastAsia"/>
                <w:szCs w:val="21"/>
              </w:rPr>
              <w:t>方针</w:t>
            </w:r>
          </w:p>
          <w:p>
            <w:pPr>
              <w:spacing w:line="280" w:lineRule="exact"/>
              <w:rPr>
                <w:rFonts w:cs="宋体" w:asciiTheme="minorEastAsia" w:hAnsiTheme="minorEastAsia" w:eastAsiaTheme="minorEastAsia"/>
                <w:kern w:val="2"/>
                <w:sz w:val="24"/>
                <w:szCs w:val="24"/>
                <w:lang w:val="en-US" w:eastAsia="zh-CN" w:bidi="ar-SA"/>
              </w:rPr>
            </w:pPr>
          </w:p>
        </w:tc>
        <w:tc>
          <w:tcPr>
            <w:tcW w:w="717" w:type="dxa"/>
            <w:vAlign w:val="top"/>
          </w:tcPr>
          <w:p>
            <w:pPr>
              <w:spacing w:line="280" w:lineRule="exact"/>
              <w:rPr>
                <w:rFonts w:cs="宋体" w:asciiTheme="minorEastAsia" w:hAnsiTheme="minorEastAsia" w:eastAsiaTheme="minorEastAsia"/>
                <w:szCs w:val="21"/>
              </w:rPr>
            </w:pP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5.2</w:t>
            </w:r>
          </w:p>
          <w:p>
            <w:pPr>
              <w:snapToGrid w:val="0"/>
              <w:spacing w:line="280" w:lineRule="exact"/>
              <w:rPr>
                <w:rFonts w:asciiTheme="minorEastAsia" w:hAnsiTheme="minorEastAsia" w:eastAsiaTheme="minorEastAsia"/>
                <w:szCs w:val="21"/>
              </w:rPr>
            </w:pPr>
          </w:p>
          <w:p>
            <w:pPr>
              <w:spacing w:line="280" w:lineRule="exact"/>
              <w:rPr>
                <w:rFonts w:cs="宋体" w:asciiTheme="minorEastAsia" w:hAnsiTheme="minorEastAsia" w:eastAsiaTheme="minorEastAsia"/>
                <w:szCs w:val="21"/>
              </w:rPr>
            </w:pPr>
          </w:p>
          <w:p>
            <w:pPr>
              <w:spacing w:line="280" w:lineRule="exact"/>
              <w:rPr>
                <w:rFonts w:cs="宋体" w:asciiTheme="minorEastAsia" w:hAnsiTheme="minorEastAsia" w:eastAsiaTheme="minorEastAsia"/>
                <w:kern w:val="2"/>
                <w:sz w:val="24"/>
                <w:szCs w:val="24"/>
                <w:lang w:val="en-US" w:eastAsia="zh-CN" w:bidi="ar-SA"/>
              </w:rPr>
            </w:pPr>
          </w:p>
        </w:tc>
        <w:tc>
          <w:tcPr>
            <w:tcW w:w="12258" w:type="dxa"/>
            <w:vAlign w:val="center"/>
          </w:tcPr>
          <w:p>
            <w:pPr>
              <w:pStyle w:val="13"/>
              <w:spacing w:line="360" w:lineRule="auto"/>
              <w:ind w:firstLine="382" w:firstLineChars="182"/>
              <w:rPr>
                <w:rFonts w:hint="eastAsia" w:asciiTheme="minorEastAsia" w:hAnsiTheme="minorEastAsia" w:eastAsiaTheme="minorEastAsia"/>
                <w:sz w:val="21"/>
                <w:szCs w:val="21"/>
              </w:rPr>
            </w:pPr>
            <w:r>
              <w:rPr>
                <w:rFonts w:hint="eastAsia" w:asciiTheme="minorEastAsia" w:hAnsiTheme="minorEastAsia" w:eastAsiaTheme="minorEastAsia"/>
                <w:sz w:val="21"/>
                <w:szCs w:val="21"/>
              </w:rPr>
              <w:t>质量方针：</w:t>
            </w:r>
          </w:p>
          <w:p>
            <w:pPr>
              <w:ind w:firstLine="420" w:firstLineChars="200"/>
              <w:rPr>
                <w:rFonts w:hint="eastAsia" w:hAnsi="宋体" w:eastAsia="宋体"/>
                <w:szCs w:val="24"/>
                <w:lang w:eastAsia="zh-CN"/>
              </w:rPr>
            </w:pPr>
            <w:r>
              <w:rPr>
                <w:rFonts w:hint="eastAsia" w:ascii="宋体" w:hAnsi="宋体"/>
                <w:bCs/>
                <w:kern w:val="0"/>
                <w:szCs w:val="24"/>
              </w:rPr>
              <w:t>科学管理</w:t>
            </w:r>
            <w:r>
              <w:rPr>
                <w:rFonts w:hint="eastAsia" w:ascii="宋体" w:hAnsi="宋体"/>
                <w:bCs/>
                <w:kern w:val="0"/>
                <w:szCs w:val="24"/>
                <w:lang w:eastAsia="zh-CN"/>
              </w:rPr>
              <w:t>，</w:t>
            </w:r>
            <w:r>
              <w:rPr>
                <w:rFonts w:hint="eastAsia" w:ascii="宋体" w:hAnsi="宋体"/>
                <w:bCs/>
                <w:kern w:val="0"/>
                <w:szCs w:val="24"/>
              </w:rPr>
              <w:t>诚信经营</w:t>
            </w:r>
            <w:r>
              <w:rPr>
                <w:rFonts w:hint="eastAsia" w:ascii="宋体" w:hAnsi="宋体"/>
                <w:bCs/>
                <w:kern w:val="0"/>
                <w:szCs w:val="24"/>
                <w:lang w:eastAsia="zh-CN"/>
              </w:rPr>
              <w:t>，</w:t>
            </w:r>
            <w:r>
              <w:rPr>
                <w:rFonts w:hint="eastAsia" w:ascii="宋体" w:hAnsi="宋体"/>
                <w:bCs/>
                <w:kern w:val="0"/>
                <w:szCs w:val="24"/>
              </w:rPr>
              <w:t>持续改进</w:t>
            </w:r>
            <w:r>
              <w:rPr>
                <w:rFonts w:hint="eastAsia" w:ascii="宋体" w:hAnsi="宋体"/>
                <w:bCs/>
                <w:kern w:val="0"/>
                <w:szCs w:val="24"/>
                <w:lang w:val="en-US" w:eastAsia="zh-CN"/>
              </w:rPr>
              <w:t>,</w:t>
            </w:r>
            <w:r>
              <w:rPr>
                <w:rFonts w:hint="eastAsia" w:ascii="宋体" w:hAnsi="宋体"/>
                <w:bCs/>
                <w:kern w:val="0"/>
                <w:szCs w:val="24"/>
                <w:lang w:eastAsia="zh-CN"/>
              </w:rPr>
              <w:t>顾客满意</w:t>
            </w:r>
          </w:p>
          <w:p>
            <w:pPr>
              <w:pStyle w:val="14"/>
              <w:numPr>
                <w:ilvl w:val="0"/>
                <w:numId w:val="1"/>
              </w:numPr>
              <w:spacing w:line="280" w:lineRule="exact"/>
              <w:ind w:firstLineChars="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与总经理进行交谈，总经理对方针内涵的理解；方针能为制定目标提供框架，方针基本符合标准的要求。</w:t>
            </w:r>
          </w:p>
          <w:p>
            <w:pPr>
              <w:pStyle w:val="14"/>
              <w:numPr>
                <w:ilvl w:val="0"/>
                <w:numId w:val="1"/>
              </w:numPr>
              <w:spacing w:line="280" w:lineRule="exact"/>
              <w:ind w:firstLineChars="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总经理用会议、文件或资料等方法确保</w:t>
            </w:r>
            <w:r>
              <w:rPr>
                <w:rFonts w:hint="eastAsia" w:cs="宋体" w:asciiTheme="minorEastAsia" w:hAnsiTheme="minorEastAsia" w:eastAsiaTheme="minorEastAsia"/>
                <w:sz w:val="21"/>
                <w:szCs w:val="21"/>
                <w:lang w:val="en-US" w:eastAsia="zh-CN"/>
              </w:rPr>
              <w:t>质量</w:t>
            </w:r>
            <w:r>
              <w:rPr>
                <w:rFonts w:hint="eastAsia" w:cs="宋体" w:asciiTheme="minorEastAsia" w:hAnsiTheme="minorEastAsia" w:eastAsiaTheme="minorEastAsia"/>
                <w:sz w:val="21"/>
                <w:szCs w:val="21"/>
              </w:rPr>
              <w:t>方针传达给所有为公司工作或代表公司的人员或相关方，并理解得到贯彻。</w:t>
            </w:r>
          </w:p>
          <w:p>
            <w:pPr>
              <w:pStyle w:val="14"/>
              <w:numPr>
                <w:ilvl w:val="0"/>
                <w:numId w:val="1"/>
              </w:numPr>
              <w:spacing w:line="280" w:lineRule="exact"/>
              <w:ind w:left="840" w:leftChars="0" w:hanging="420" w:firstLineChars="0"/>
              <w:rPr>
                <w:rFonts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sz w:val="21"/>
                <w:szCs w:val="21"/>
              </w:rPr>
              <w:t>每年结合管理评审对方针的持续适宜性进行了评审继续保持，有评审记录。</w:t>
            </w:r>
          </w:p>
        </w:tc>
        <w:tc>
          <w:tcPr>
            <w:tcW w:w="730"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189" w:type="dxa"/>
            <w:vAlign w:val="top"/>
          </w:tcPr>
          <w:p>
            <w:pPr>
              <w:spacing w:line="2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组织的岗位、职责和权限</w:t>
            </w:r>
          </w:p>
          <w:p>
            <w:pPr>
              <w:spacing w:line="280" w:lineRule="exact"/>
              <w:rPr>
                <w:rFonts w:cs="宋体" w:asciiTheme="minorEastAsia" w:hAnsiTheme="minorEastAsia" w:eastAsiaTheme="minorEastAsia"/>
                <w:kern w:val="2"/>
                <w:sz w:val="24"/>
                <w:szCs w:val="24"/>
                <w:lang w:val="en-US" w:eastAsia="zh-CN" w:bidi="ar-SA"/>
              </w:rPr>
            </w:pPr>
          </w:p>
        </w:tc>
        <w:tc>
          <w:tcPr>
            <w:tcW w:w="717" w:type="dxa"/>
            <w:vAlign w:val="top"/>
          </w:tcPr>
          <w:p>
            <w:pPr>
              <w:spacing w:line="280" w:lineRule="exact"/>
              <w:rPr>
                <w:rFonts w:cs="宋体" w:asciiTheme="minorEastAsia" w:hAnsiTheme="minorEastAsia" w:eastAsiaTheme="minorEastAsia"/>
                <w:szCs w:val="21"/>
              </w:rPr>
            </w:pPr>
            <w:r>
              <w:rPr>
                <w:rFonts w:cs="宋体" w:asciiTheme="minorEastAsia" w:hAnsiTheme="minorEastAsia" w:eastAsiaTheme="minorEastAsia"/>
                <w:szCs w:val="21"/>
              </w:rPr>
              <w:t xml:space="preserve"> 5.3</w:t>
            </w:r>
          </w:p>
          <w:p>
            <w:pPr>
              <w:spacing w:line="280" w:lineRule="exact"/>
              <w:rPr>
                <w:rFonts w:cs="宋体" w:asciiTheme="minorEastAsia" w:hAnsiTheme="minorEastAsia" w:eastAsiaTheme="minorEastAsia"/>
                <w:kern w:val="2"/>
                <w:sz w:val="24"/>
                <w:szCs w:val="24"/>
                <w:lang w:val="en-US" w:eastAsia="zh-CN" w:bidi="ar-SA"/>
              </w:rPr>
            </w:pPr>
          </w:p>
        </w:tc>
        <w:tc>
          <w:tcPr>
            <w:tcW w:w="12258" w:type="dxa"/>
            <w:vAlign w:val="center"/>
          </w:tcPr>
          <w:p>
            <w:pPr>
              <w:spacing w:line="280" w:lineRule="exact"/>
              <w:ind w:firstLine="420" w:firstLineChars="2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公司组织结构设置，各部门职责、权限和相互关系文件化，通过会议、培训、文件确保各相关部门及人员明确。</w:t>
            </w:r>
          </w:p>
          <w:p>
            <w:pPr>
              <w:spacing w:line="280" w:lineRule="exact"/>
              <w:ind w:firstLine="420" w:firstLineChars="200"/>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公司</w:t>
            </w:r>
            <w:r>
              <w:rPr>
                <w:rFonts w:hint="eastAsia" w:cs="宋体" w:asciiTheme="minorEastAsia" w:hAnsiTheme="minorEastAsia" w:eastAsiaTheme="minorEastAsia"/>
                <w:sz w:val="21"/>
                <w:szCs w:val="21"/>
                <w:lang w:val="en-US" w:eastAsia="zh-CN"/>
              </w:rPr>
              <w:t>2021年7月1日</w:t>
            </w:r>
            <w:r>
              <w:rPr>
                <w:rFonts w:hint="eastAsia" w:cs="宋体" w:asciiTheme="minorEastAsia" w:hAnsiTheme="minorEastAsia" w:eastAsiaTheme="minorEastAsia"/>
                <w:sz w:val="21"/>
                <w:szCs w:val="21"/>
              </w:rPr>
              <w:t>任命</w:t>
            </w:r>
            <w:r>
              <w:rPr>
                <w:rFonts w:hint="eastAsia" w:cs="宋体" w:asciiTheme="minorEastAsia" w:hAnsiTheme="minorEastAsia" w:eastAsiaTheme="minorEastAsia"/>
                <w:sz w:val="21"/>
                <w:szCs w:val="21"/>
                <w:lang w:val="en-US" w:eastAsia="zh-CN"/>
              </w:rPr>
              <w:t>邢金辉</w:t>
            </w:r>
            <w:r>
              <w:rPr>
                <w:rFonts w:hint="eastAsia" w:cs="宋体" w:asciiTheme="minorEastAsia" w:hAnsiTheme="minorEastAsia" w:eastAsiaTheme="minorEastAsia"/>
                <w:sz w:val="21"/>
                <w:szCs w:val="21"/>
              </w:rPr>
              <w:t>为管理体系管理者代表，与其交谈明确职责和权限：</w:t>
            </w:r>
          </w:p>
          <w:p>
            <w:pPr>
              <w:spacing w:line="280" w:lineRule="exact"/>
              <w:ind w:firstLine="420" w:firstLineChars="200"/>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1、负责组织建立、实施和保持公司的质量管理体系，促进有效运行；</w:t>
            </w:r>
          </w:p>
          <w:p>
            <w:pPr>
              <w:spacing w:line="280" w:lineRule="exact"/>
              <w:ind w:firstLine="420" w:firstLineChars="200"/>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2、负责向总经理报告公司质量管理体系的运行情况和任何改进的需求；</w:t>
            </w:r>
          </w:p>
          <w:p>
            <w:pPr>
              <w:spacing w:line="280" w:lineRule="exact"/>
              <w:ind w:firstLine="420" w:firstLineChars="200"/>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3、采取有效形式，提高公司全体员工满足顾客要求的意识；</w:t>
            </w:r>
          </w:p>
          <w:p>
            <w:pPr>
              <w:spacing w:line="280" w:lineRule="exact"/>
              <w:ind w:firstLine="420" w:firstLineChars="200"/>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4、代表公司就质量管理的有关事宜的外部联络；</w:t>
            </w:r>
            <w:bookmarkStart w:id="3" w:name="_GoBack"/>
            <w:bookmarkEnd w:id="3"/>
          </w:p>
          <w:p>
            <w:pPr>
              <w:spacing w:line="280" w:lineRule="exact"/>
              <w:ind w:firstLine="420" w:firstLineChars="200"/>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5、负责管理体系内审工作；</w:t>
            </w:r>
          </w:p>
          <w:p>
            <w:pPr>
              <w:spacing w:line="280" w:lineRule="exact"/>
              <w:ind w:firstLine="420" w:firstLineChars="200"/>
              <w:rPr>
                <w:rFonts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sz w:val="21"/>
                <w:szCs w:val="21"/>
              </w:rPr>
              <w:t>6、负责管理评审的组织工作并监督落实任何决议和措施。</w:t>
            </w:r>
          </w:p>
        </w:tc>
        <w:tc>
          <w:tcPr>
            <w:tcW w:w="730"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189" w:type="dxa"/>
            <w:vAlign w:val="top"/>
          </w:tcPr>
          <w:p>
            <w:pPr>
              <w:spacing w:line="2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应对风险和机遇的措施</w:t>
            </w:r>
          </w:p>
          <w:p>
            <w:pPr>
              <w:spacing w:line="280" w:lineRule="exact"/>
              <w:rPr>
                <w:rFonts w:cs="宋体" w:asciiTheme="minorEastAsia" w:hAnsiTheme="minorEastAsia" w:eastAsiaTheme="minorEastAsia"/>
                <w:kern w:val="2"/>
                <w:sz w:val="24"/>
                <w:szCs w:val="24"/>
                <w:lang w:val="en-US" w:eastAsia="zh-CN" w:bidi="ar-SA"/>
              </w:rPr>
            </w:pPr>
          </w:p>
        </w:tc>
        <w:tc>
          <w:tcPr>
            <w:tcW w:w="717" w:type="dxa"/>
            <w:vAlign w:val="top"/>
          </w:tcPr>
          <w:p>
            <w:pPr>
              <w:spacing w:line="280" w:lineRule="exact"/>
              <w:rPr>
                <w:rFonts w:cs="宋体" w:asciiTheme="minorEastAsia" w:hAnsiTheme="minorEastAsia" w:eastAsiaTheme="minorEastAsia"/>
                <w:szCs w:val="21"/>
              </w:rPr>
            </w:pP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6.1</w:t>
            </w:r>
          </w:p>
          <w:p>
            <w:pPr>
              <w:spacing w:line="280" w:lineRule="exact"/>
              <w:rPr>
                <w:rFonts w:cs="宋体" w:asciiTheme="minorEastAsia" w:hAnsiTheme="minorEastAsia" w:eastAsiaTheme="minorEastAsia"/>
                <w:szCs w:val="21"/>
              </w:rPr>
            </w:pPr>
          </w:p>
          <w:p>
            <w:pPr>
              <w:spacing w:line="280" w:lineRule="exact"/>
              <w:rPr>
                <w:rFonts w:cs="宋体" w:asciiTheme="minorEastAsia" w:hAnsiTheme="minorEastAsia" w:eastAsiaTheme="minorEastAsia"/>
                <w:szCs w:val="21"/>
              </w:rPr>
            </w:pPr>
          </w:p>
          <w:p>
            <w:pPr>
              <w:spacing w:line="280" w:lineRule="exact"/>
              <w:rPr>
                <w:rFonts w:cs="宋体" w:asciiTheme="minorEastAsia" w:hAnsiTheme="minorEastAsia" w:eastAsiaTheme="minorEastAsia"/>
                <w:kern w:val="2"/>
                <w:sz w:val="21"/>
                <w:szCs w:val="21"/>
                <w:lang w:val="en-US" w:eastAsia="zh-CN" w:bidi="ar-SA"/>
              </w:rPr>
            </w:pPr>
          </w:p>
        </w:tc>
        <w:tc>
          <w:tcPr>
            <w:tcW w:w="12258" w:type="dxa"/>
            <w:vAlign w:val="center"/>
          </w:tcPr>
          <w:p>
            <w:pPr>
              <w:pStyle w:val="14"/>
              <w:numPr>
                <w:ilvl w:val="0"/>
                <w:numId w:val="0"/>
              </w:numPr>
              <w:spacing w:line="280" w:lineRule="exact"/>
              <w:ind w:left="420" w:leftChars="0" w:firstLine="420" w:firstLineChars="200"/>
              <w:jc w:val="left"/>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lang w:val="en-US" w:eastAsia="zh-CN"/>
              </w:rPr>
              <w:t>管理层指定</w:t>
            </w:r>
            <w:r>
              <w:rPr>
                <w:rFonts w:hint="eastAsia" w:cs="宋体" w:asciiTheme="minorEastAsia" w:hAnsiTheme="minorEastAsia" w:eastAsiaTheme="minorEastAsia"/>
                <w:sz w:val="21"/>
                <w:szCs w:val="21"/>
                <w:lang w:eastAsia="zh-CN"/>
              </w:rPr>
              <w:t>综合办</w:t>
            </w:r>
            <w:r>
              <w:rPr>
                <w:rFonts w:hint="eastAsia" w:cs="宋体" w:asciiTheme="minorEastAsia" w:hAnsiTheme="minorEastAsia" w:eastAsiaTheme="minorEastAsia"/>
                <w:sz w:val="21"/>
                <w:szCs w:val="21"/>
              </w:rPr>
              <w:t>组织收集、监视和评审与实现公司宗旨和战略相关的内外部信息，对相关方及其要求，收集并对相关信息进行监视和评审，制定应对风险、机会的措施，并通过内部审核、管理评审等形式对所制定措施的实施情况和有效性进行监视和评价。</w:t>
            </w:r>
          </w:p>
          <w:p>
            <w:pPr>
              <w:pStyle w:val="14"/>
              <w:numPr>
                <w:ilvl w:val="0"/>
                <w:numId w:val="2"/>
              </w:numPr>
              <w:spacing w:line="280" w:lineRule="exact"/>
              <w:ind w:firstLineChars="0"/>
              <w:jc w:val="lef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外部因素主要有</w:t>
            </w:r>
            <w:r>
              <w:rPr>
                <w:rFonts w:hint="eastAsia" w:cs="宋体" w:asciiTheme="minorEastAsia" w:hAnsiTheme="minorEastAsia" w:eastAsiaTheme="minorEastAsia"/>
                <w:sz w:val="21"/>
                <w:szCs w:val="21"/>
                <w:lang w:eastAsia="zh-CN"/>
              </w:rPr>
              <w:t>：</w:t>
            </w:r>
            <w:r>
              <w:rPr>
                <w:rFonts w:hint="eastAsia" w:cs="宋体" w:asciiTheme="minorEastAsia" w:hAnsiTheme="minorEastAsia" w:eastAsiaTheme="minorEastAsia"/>
                <w:sz w:val="21"/>
                <w:szCs w:val="21"/>
              </w:rPr>
              <w:t>法律、监管、金融、技术、经济、自然环境和市场竞争环境；影响公司管理目标的主要驱动和趋势；与外部利益相关者的价值观的关系。如国家政策、标准、法律法规及其他要求的变动等</w:t>
            </w:r>
            <w:r>
              <w:rPr>
                <w:rFonts w:hint="eastAsia" w:cs="宋体" w:asciiTheme="minorEastAsia" w:hAnsiTheme="minorEastAsia" w:eastAsiaTheme="minorEastAsia"/>
                <w:sz w:val="21"/>
                <w:szCs w:val="21"/>
                <w:lang w:eastAsia="zh-CN"/>
              </w:rPr>
              <w:t>。</w:t>
            </w:r>
          </w:p>
          <w:p>
            <w:pPr>
              <w:pStyle w:val="14"/>
              <w:numPr>
                <w:ilvl w:val="0"/>
                <w:numId w:val="2"/>
              </w:numPr>
              <w:spacing w:line="280" w:lineRule="exact"/>
              <w:ind w:firstLineChars="0"/>
              <w:jc w:val="left"/>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内部因素包括：组织机构，角色和责任；政策、目标、实现目标的战略；能力、资源和知识（资本、时间、人、能力等）；内部利益相关者的价值观与组织文化之间的关系；信息系统、信息流和决策流程；控制过程。</w:t>
            </w:r>
          </w:p>
          <w:p>
            <w:pPr>
              <w:pStyle w:val="14"/>
              <w:numPr>
                <w:ilvl w:val="0"/>
                <w:numId w:val="2"/>
              </w:numPr>
              <w:spacing w:line="280" w:lineRule="exact"/>
              <w:ind w:left="840" w:leftChars="0" w:hanging="420" w:firstLineChars="0"/>
              <w:jc w:val="left"/>
              <w:rPr>
                <w:rFonts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sz w:val="21"/>
                <w:szCs w:val="21"/>
              </w:rPr>
              <w:t>在策划管理体系时考虑了风险和机遇以及相应的应对措施，制定了风险和机遇的应对方案，明确风险和机遇事件的识别方法/途径、风险和机遇事件的评估方式、制定主要风险和机遇事件的应对措施的要求、评价这些措施有效性的方法。</w:t>
            </w:r>
          </w:p>
          <w:p>
            <w:pPr>
              <w:pStyle w:val="14"/>
              <w:widowControl w:val="0"/>
              <w:numPr>
                <w:numId w:val="0"/>
              </w:numPr>
              <w:spacing w:line="280" w:lineRule="exact"/>
              <w:jc w:val="left"/>
              <w:rPr>
                <w:rFonts w:hint="eastAsia" w:cs="宋体" w:asciiTheme="minorEastAsia" w:hAnsiTheme="minorEastAsia" w:eastAsiaTheme="minorEastAsia"/>
                <w:sz w:val="21"/>
                <w:szCs w:val="21"/>
                <w:lang w:val="en-US" w:eastAsia="zh-CN"/>
              </w:rPr>
            </w:pPr>
          </w:p>
        </w:tc>
        <w:tc>
          <w:tcPr>
            <w:tcW w:w="730"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5" w:hRule="atLeast"/>
        </w:trPr>
        <w:tc>
          <w:tcPr>
            <w:tcW w:w="1189" w:type="dxa"/>
            <w:vAlign w:val="top"/>
          </w:tcPr>
          <w:p>
            <w:pPr>
              <w:spacing w:line="280" w:lineRule="exact"/>
              <w:rPr>
                <w:rFonts w:cs="宋体" w:asciiTheme="minorEastAsia" w:hAnsiTheme="minorEastAsia" w:eastAsiaTheme="minorEastAsia"/>
                <w:szCs w:val="21"/>
              </w:rPr>
            </w:pPr>
          </w:p>
          <w:p>
            <w:pPr>
              <w:spacing w:line="2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质量目标</w:t>
            </w:r>
          </w:p>
          <w:p>
            <w:pPr>
              <w:spacing w:line="280" w:lineRule="exact"/>
              <w:rPr>
                <w:rFonts w:cs="Times New Roman" w:asciiTheme="minorEastAsia" w:hAnsiTheme="minorEastAsia" w:eastAsiaTheme="minorEastAsia"/>
                <w:kern w:val="2"/>
                <w:sz w:val="21"/>
                <w:lang w:val="en-US" w:eastAsia="zh-CN" w:bidi="ar-SA"/>
              </w:rPr>
            </w:pPr>
          </w:p>
        </w:tc>
        <w:tc>
          <w:tcPr>
            <w:tcW w:w="717" w:type="dxa"/>
            <w:vAlign w:val="top"/>
          </w:tcPr>
          <w:p>
            <w:pPr>
              <w:spacing w:line="280" w:lineRule="exact"/>
              <w:rPr>
                <w:rFonts w:asciiTheme="minorEastAsia" w:hAnsiTheme="minorEastAsia" w:eastAsiaTheme="minorEastAsia"/>
                <w:szCs w:val="21"/>
              </w:rPr>
            </w:pPr>
            <w:r>
              <w:rPr>
                <w:rFonts w:asciiTheme="minorEastAsia" w:hAnsiTheme="minorEastAsia" w:eastAsiaTheme="minorEastAsia"/>
                <w:szCs w:val="21"/>
              </w:rPr>
              <w:t xml:space="preserve"> </w:t>
            </w:r>
            <w:r>
              <w:rPr>
                <w:rFonts w:hint="eastAsia" w:asciiTheme="minorEastAsia" w:hAnsiTheme="minorEastAsia" w:eastAsiaTheme="minorEastAsia"/>
                <w:szCs w:val="21"/>
              </w:rPr>
              <w:t>6.2</w:t>
            </w:r>
          </w:p>
          <w:p>
            <w:pPr>
              <w:spacing w:line="280" w:lineRule="exact"/>
              <w:rPr>
                <w:rFonts w:asciiTheme="minorEastAsia" w:hAnsiTheme="minorEastAsia" w:eastAsiaTheme="minorEastAsia"/>
                <w:szCs w:val="21"/>
              </w:rPr>
            </w:pPr>
          </w:p>
          <w:p>
            <w:pPr>
              <w:spacing w:line="280" w:lineRule="exact"/>
              <w:rPr>
                <w:rFonts w:cs="Times New Roman" w:asciiTheme="minorEastAsia" w:hAnsiTheme="minorEastAsia" w:eastAsiaTheme="minorEastAsia"/>
                <w:kern w:val="2"/>
                <w:sz w:val="21"/>
                <w:lang w:val="en-US" w:eastAsia="zh-CN" w:bidi="ar-SA"/>
              </w:rPr>
            </w:pPr>
          </w:p>
        </w:tc>
        <w:tc>
          <w:tcPr>
            <w:tcW w:w="12258" w:type="dxa"/>
            <w:vAlign w:val="center"/>
          </w:tcPr>
          <w:p>
            <w:pPr>
              <w:spacing w:line="280" w:lineRule="exact"/>
              <w:ind w:firstLine="420" w:firstLineChars="200"/>
              <w:rPr>
                <w:rFonts w:hint="eastAsia"/>
              </w:rPr>
            </w:pPr>
            <w:r>
              <w:rPr>
                <w:rFonts w:hint="eastAsia"/>
              </w:rPr>
              <w:t>提供公司质量目标及质量目标部门分解，</w:t>
            </w:r>
            <w:r>
              <w:rPr>
                <w:rFonts w:hint="eastAsia"/>
                <w:lang w:val="en-US" w:eastAsia="zh-CN"/>
              </w:rPr>
              <w:t>分解到各部门，</w:t>
            </w:r>
            <w:r>
              <w:rPr>
                <w:rFonts w:hint="eastAsia"/>
              </w:rPr>
              <w:t>明确考核标准、周期；</w:t>
            </w:r>
          </w:p>
          <w:p>
            <w:pPr>
              <w:spacing w:line="280" w:lineRule="exact"/>
              <w:ind w:firstLine="420" w:firstLineChars="200"/>
              <w:rPr>
                <w:rFonts w:hint="eastAsia"/>
                <w:lang w:eastAsia="zh-CN"/>
              </w:rPr>
            </w:pPr>
            <w:r>
              <w:rPr>
                <w:rFonts w:hint="eastAsia"/>
              </w:rPr>
              <w:t>有2021.11.20</w:t>
            </w:r>
            <w:r>
              <w:rPr>
                <w:rFonts w:hint="eastAsia"/>
                <w:lang w:val="en-US" w:eastAsia="zh-CN"/>
              </w:rPr>
              <w:t>统计目标完成</w:t>
            </w:r>
            <w:r>
              <w:rPr>
                <w:rFonts w:hint="eastAsia"/>
              </w:rPr>
              <w:t>情况记录，目标、指示达成</w:t>
            </w:r>
            <w:r>
              <w:rPr>
                <w:rFonts w:hint="eastAsia"/>
                <w:lang w:eastAsia="zh-CN"/>
              </w:rPr>
              <w:t>：</w:t>
            </w:r>
          </w:p>
          <w:tbl>
            <w:tblPr>
              <w:tblStyle w:val="7"/>
              <w:tblpPr w:leftFromText="180" w:rightFromText="180" w:vertAnchor="text" w:horzAnchor="page" w:tblpX="699" w:tblpY="70"/>
              <w:tblOverlap w:val="never"/>
              <w:tblW w:w="739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45"/>
              <w:gridCol w:w="4200"/>
              <w:gridCol w:w="16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3" w:hRule="atLeast"/>
              </w:trPr>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lang w:val="en-US" w:eastAsia="zh-CN"/>
                    </w:rPr>
                  </w:pPr>
                  <w:r>
                    <w:rPr>
                      <w:rFonts w:hint="eastAsia"/>
                      <w:lang w:val="en-US" w:eastAsia="zh-CN"/>
                    </w:rPr>
                    <w:t>部门</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lang w:val="en-US" w:eastAsia="zh-CN"/>
                    </w:rPr>
                  </w:pPr>
                  <w:r>
                    <w:rPr>
                      <w:rFonts w:hint="eastAsia"/>
                      <w:lang w:val="en-US" w:eastAsia="zh-CN"/>
                    </w:rPr>
                    <w:t>质量目标</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lang w:val="en-US" w:eastAsia="zh-CN"/>
                    </w:rPr>
                  </w:pPr>
                  <w:r>
                    <w:rPr>
                      <w:rFonts w:hint="eastAsia"/>
                      <w:lang w:val="en-US" w:eastAsia="zh-CN"/>
                    </w:rPr>
                    <w:t>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3" w:hRule="atLeast"/>
              </w:trPr>
              <w:tc>
                <w:tcPr>
                  <w:tcW w:w="15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rPr>
                  </w:pPr>
                  <w:r>
                    <w:rPr>
                      <w:rFonts w:hint="eastAsia"/>
                      <w:lang w:val="en-US" w:eastAsia="zh-CN"/>
                    </w:rPr>
                    <w:t>公司</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hint="eastAsia" w:ascii="宋体" w:hAnsi="宋体"/>
                      <w:szCs w:val="24"/>
                    </w:rPr>
                    <w:t>产品一次检验合格率≥9</w:t>
                  </w:r>
                  <w:r>
                    <w:rPr>
                      <w:rFonts w:hint="eastAsia" w:ascii="宋体" w:hAnsi="宋体"/>
                      <w:szCs w:val="24"/>
                      <w:lang w:val="en-US" w:eastAsia="zh-CN"/>
                    </w:rPr>
                    <w:t>5</w:t>
                  </w:r>
                  <w:r>
                    <w:rPr>
                      <w:rFonts w:hint="eastAsia" w:ascii="宋体" w:hAnsi="宋体"/>
                      <w:szCs w:val="24"/>
                    </w:rPr>
                    <w:t>%</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lang w:val="en-US" w:eastAsia="zh-CN"/>
                    </w:rPr>
                  </w:pPr>
                  <w:r>
                    <w:rPr>
                      <w:rFonts w:hint="eastAsia"/>
                      <w:lang w:val="en-US" w:eastAsia="zh-CN"/>
                    </w:rPr>
                    <w:t>99.2%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3" w:hRule="atLeast"/>
              </w:trPr>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rPr>
                  </w:pPr>
                  <w:r>
                    <w:rPr>
                      <w:rFonts w:hint="eastAsia" w:ascii="宋体" w:hAnsi="宋体"/>
                      <w:szCs w:val="24"/>
                    </w:rPr>
                    <w:t>顾客满意率≥9</w:t>
                  </w:r>
                  <w:r>
                    <w:rPr>
                      <w:rFonts w:hint="eastAsia" w:ascii="宋体" w:hAnsi="宋体"/>
                      <w:szCs w:val="24"/>
                      <w:lang w:val="en-US" w:eastAsia="zh-CN"/>
                    </w:rPr>
                    <w:t>0</w:t>
                  </w:r>
                  <w:r>
                    <w:rPr>
                      <w:rFonts w:hint="eastAsia" w:ascii="宋体" w:hAnsi="宋体"/>
                      <w:szCs w:val="24"/>
                    </w:rPr>
                    <w:t>%</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lang w:val="en-US" w:eastAsia="zh-CN"/>
                    </w:rPr>
                  </w:pPr>
                  <w:r>
                    <w:rPr>
                      <w:rFonts w:hint="eastAsia"/>
                      <w:lang w:val="en-US" w:eastAsia="zh-CN"/>
                    </w:rPr>
                    <w:t>98.1%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3" w:hRule="atLeast"/>
              </w:trPr>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p>
              </w:tc>
              <w:tc>
                <w:tcPr>
                  <w:tcW w:w="4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rPr>
                  </w:pPr>
                  <w:r>
                    <w:rPr>
                      <w:rFonts w:hint="eastAsia" w:ascii="宋体" w:hAnsi="宋体"/>
                      <w:szCs w:val="24"/>
                    </w:rPr>
                    <w:t>合同</w:t>
                  </w:r>
                  <w:r>
                    <w:rPr>
                      <w:rFonts w:hint="eastAsia" w:ascii="宋体" w:hAnsi="宋体"/>
                      <w:szCs w:val="24"/>
                      <w:lang w:eastAsia="zh-CN"/>
                    </w:rPr>
                    <w:t>履约</w:t>
                  </w:r>
                  <w:r>
                    <w:rPr>
                      <w:rFonts w:hint="eastAsia" w:ascii="宋体" w:hAnsi="宋体"/>
                      <w:szCs w:val="24"/>
                    </w:rPr>
                    <w:t>率100%</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eastAsia"/>
                      <w:lang w:val="en-US" w:eastAsia="zh-CN"/>
                    </w:rPr>
                  </w:pPr>
                  <w:r>
                    <w:rPr>
                      <w:rFonts w:hint="eastAsia"/>
                      <w:lang w:val="en-US" w:eastAsia="zh-CN"/>
                    </w:rPr>
                    <w:t>100%</w:t>
                  </w:r>
                </w:p>
              </w:tc>
            </w:tr>
          </w:tbl>
          <w:p>
            <w:pPr>
              <w:pStyle w:val="2"/>
              <w:rPr>
                <w:rFonts w:hint="eastAsia"/>
              </w:rPr>
            </w:pPr>
          </w:p>
          <w:p>
            <w:pPr>
              <w:widowControl w:val="0"/>
              <w:numPr>
                <w:ilvl w:val="0"/>
                <w:numId w:val="0"/>
              </w:numPr>
              <w:tabs>
                <w:tab w:val="left" w:pos="420"/>
              </w:tabs>
              <w:spacing w:line="280" w:lineRule="exact"/>
              <w:jc w:val="both"/>
              <w:rPr>
                <w:rFonts w:hint="default"/>
                <w:lang w:val="en-US" w:eastAsia="zh-CN"/>
              </w:rPr>
            </w:pPr>
          </w:p>
          <w:p>
            <w:pPr>
              <w:pStyle w:val="2"/>
              <w:rPr>
                <w:rFonts w:hint="default" w:ascii="Times New Roman" w:hAnsi="Times New Roman" w:cs="Times New Roman" w:eastAsiaTheme="minorEastAsia"/>
                <w:kern w:val="2"/>
                <w:sz w:val="21"/>
                <w:szCs w:val="21"/>
                <w:lang w:val="en-US" w:eastAsia="zh-CN" w:bidi="ar-SA"/>
              </w:rPr>
            </w:pPr>
          </w:p>
          <w:p>
            <w:pPr>
              <w:pStyle w:val="2"/>
              <w:rPr>
                <w:rFonts w:hint="default" w:ascii="Times New Roman" w:hAnsi="Times New Roman" w:cs="Times New Roman" w:eastAsiaTheme="minorEastAsia"/>
                <w:kern w:val="2"/>
                <w:sz w:val="21"/>
                <w:szCs w:val="21"/>
                <w:lang w:val="en-US" w:eastAsia="zh-CN" w:bidi="ar-SA"/>
              </w:rPr>
            </w:pPr>
          </w:p>
          <w:p>
            <w:pPr>
              <w:pStyle w:val="2"/>
              <w:rPr>
                <w:rFonts w:hint="default" w:ascii="Times New Roman" w:hAnsi="Times New Roman" w:cs="Times New Roman" w:eastAsiaTheme="minorEastAsia"/>
                <w:kern w:val="2"/>
                <w:sz w:val="21"/>
                <w:szCs w:val="21"/>
                <w:lang w:val="en-US" w:eastAsia="zh-CN" w:bidi="ar-SA"/>
              </w:rPr>
            </w:pPr>
          </w:p>
          <w:p>
            <w:pPr>
              <w:pStyle w:val="2"/>
              <w:ind w:firstLine="690" w:firstLineChars="300"/>
              <w:rPr>
                <w:rFonts w:hint="default" w:ascii="Times New Roman" w:hAnsi="Times New Roman" w:cs="Times New Roman" w:eastAsiaTheme="minorEastAsia"/>
                <w:kern w:val="2"/>
                <w:sz w:val="21"/>
                <w:szCs w:val="21"/>
                <w:lang w:val="en-US" w:eastAsia="zh-CN" w:bidi="ar-SA"/>
              </w:rPr>
            </w:pPr>
            <w:r>
              <w:rPr>
                <w:rFonts w:hint="eastAsia" w:cs="宋体" w:asciiTheme="minorEastAsia" w:hAnsiTheme="minorEastAsia" w:eastAsiaTheme="minorEastAsia"/>
                <w:szCs w:val="21"/>
                <w:lang w:val="en-US" w:eastAsia="zh-CN"/>
              </w:rPr>
              <w:t xml:space="preserve">统计考核人：殷在学    批准：邢金辉     </w:t>
            </w:r>
          </w:p>
        </w:tc>
        <w:tc>
          <w:tcPr>
            <w:tcW w:w="730"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1189" w:type="dxa"/>
            <w:vAlign w:val="top"/>
          </w:tcPr>
          <w:p>
            <w:pPr>
              <w:spacing w:line="2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变更的策划</w:t>
            </w:r>
          </w:p>
          <w:p>
            <w:pPr>
              <w:spacing w:line="280" w:lineRule="exact"/>
              <w:rPr>
                <w:rFonts w:cs="Times New Roman" w:asciiTheme="minorEastAsia" w:hAnsiTheme="minorEastAsia" w:eastAsiaTheme="minorEastAsia"/>
                <w:kern w:val="2"/>
                <w:sz w:val="21"/>
                <w:lang w:val="en-US" w:eastAsia="zh-CN" w:bidi="ar-SA"/>
              </w:rPr>
            </w:pPr>
          </w:p>
        </w:tc>
        <w:tc>
          <w:tcPr>
            <w:tcW w:w="717" w:type="dxa"/>
            <w:vAlign w:val="top"/>
          </w:tcPr>
          <w:p>
            <w:pPr>
              <w:spacing w:line="280" w:lineRule="exact"/>
              <w:rPr>
                <w:rFonts w:asciiTheme="minorEastAsia" w:hAnsiTheme="minorEastAsia" w:eastAsiaTheme="minorEastAsia"/>
                <w:szCs w:val="21"/>
              </w:rPr>
            </w:pPr>
            <w:r>
              <w:rPr>
                <w:rFonts w:hint="eastAsia" w:asciiTheme="minorEastAsia" w:hAnsiTheme="minorEastAsia" w:eastAsiaTheme="minorEastAsia"/>
                <w:szCs w:val="21"/>
              </w:rPr>
              <w:t>6.3</w:t>
            </w:r>
          </w:p>
          <w:p>
            <w:pPr>
              <w:spacing w:line="280" w:lineRule="exact"/>
              <w:rPr>
                <w:rFonts w:cs="Times New Roman" w:asciiTheme="minorEastAsia" w:hAnsiTheme="minorEastAsia" w:eastAsiaTheme="minorEastAsia"/>
                <w:kern w:val="2"/>
                <w:sz w:val="21"/>
                <w:lang w:val="en-US" w:eastAsia="zh-CN" w:bidi="ar-SA"/>
              </w:rPr>
            </w:pPr>
          </w:p>
        </w:tc>
        <w:tc>
          <w:tcPr>
            <w:tcW w:w="12258" w:type="dxa"/>
            <w:vAlign w:val="center"/>
          </w:tcPr>
          <w:p>
            <w:pPr>
              <w:spacing w:line="280" w:lineRule="exact"/>
              <w:rPr>
                <w:rFonts w:hint="eastAsia"/>
                <w:lang w:eastAsia="zh-CN"/>
              </w:rPr>
            </w:pPr>
            <w:r>
              <w:rPr>
                <w:rFonts w:hint="eastAsia"/>
              </w:rPr>
              <w:t xml:space="preserve">  </w:t>
            </w:r>
            <w:r>
              <w:rPr>
                <w:rFonts w:hint="eastAsia"/>
                <w:lang w:val="en-US" w:eastAsia="zh-CN"/>
              </w:rPr>
              <w:t xml:space="preserve">  </w:t>
            </w:r>
            <w:r>
              <w:rPr>
                <w:rFonts w:hint="eastAsia"/>
              </w:rPr>
              <w:t>公司建立</w:t>
            </w:r>
            <w:r>
              <w:rPr>
                <w:rFonts w:hint="eastAsia"/>
                <w:lang w:eastAsia="zh-CN"/>
              </w:rPr>
              <w:t>质量管理体系</w:t>
            </w:r>
            <w:r>
              <w:rPr>
                <w:rFonts w:hint="eastAsia"/>
              </w:rPr>
              <w:t>，实施日期：20</w:t>
            </w:r>
            <w:r>
              <w:rPr>
                <w:rFonts w:hint="eastAsia"/>
                <w:lang w:val="en-US" w:eastAsia="zh-CN"/>
              </w:rPr>
              <w:t>21</w:t>
            </w:r>
            <w:r>
              <w:rPr>
                <w:rFonts w:hint="eastAsia"/>
              </w:rPr>
              <w:t>.</w:t>
            </w:r>
            <w:r>
              <w:rPr>
                <w:rFonts w:hint="eastAsia"/>
                <w:lang w:val="en-US" w:eastAsia="zh-CN"/>
              </w:rPr>
              <w:t>7</w:t>
            </w:r>
            <w:r>
              <w:rPr>
                <w:rFonts w:hint="eastAsia"/>
              </w:rPr>
              <w:t>.</w:t>
            </w:r>
            <w:r>
              <w:t>1</w:t>
            </w:r>
            <w:r>
              <w:rPr>
                <w:rFonts w:hint="eastAsia"/>
                <w:lang w:eastAsia="zh-CN"/>
              </w:rPr>
              <w:t>；</w:t>
            </w:r>
          </w:p>
          <w:p>
            <w:pPr>
              <w:spacing w:line="280" w:lineRule="exact"/>
              <w:ind w:firstLine="420" w:firstLineChars="200"/>
              <w:rPr>
                <w:rFonts w:hint="eastAsia"/>
              </w:rPr>
            </w:pPr>
            <w:r>
              <w:rPr>
                <w:rFonts w:hint="eastAsia"/>
              </w:rPr>
              <w:t>负责人明确公司确定需要对管理体系进行变更时，应经策划并系统的实施，考虑变更目的及其潜在后果</w:t>
            </w:r>
            <w:r>
              <w:rPr>
                <w:rFonts w:hint="eastAsia"/>
                <w:lang w:eastAsia="zh-CN"/>
              </w:rPr>
              <w:t>、</w:t>
            </w:r>
            <w:r>
              <w:rPr>
                <w:rFonts w:hint="eastAsia"/>
              </w:rPr>
              <w:t>管理体系的完整性</w:t>
            </w:r>
            <w:r>
              <w:rPr>
                <w:rFonts w:hint="eastAsia"/>
                <w:lang w:eastAsia="zh-CN"/>
              </w:rPr>
              <w:t>、</w:t>
            </w:r>
            <w:r>
              <w:rPr>
                <w:rFonts w:hint="eastAsia"/>
              </w:rPr>
              <w:t>资源的可获得性</w:t>
            </w:r>
            <w:r>
              <w:rPr>
                <w:rFonts w:hint="eastAsia"/>
                <w:lang w:eastAsia="zh-CN"/>
              </w:rPr>
              <w:t>、</w:t>
            </w:r>
            <w:r>
              <w:rPr>
                <w:rFonts w:hint="eastAsia"/>
              </w:rPr>
              <w:t>责任和权限的分配与再分配。</w:t>
            </w:r>
          </w:p>
          <w:p>
            <w:pPr>
              <w:pStyle w:val="2"/>
              <w:rPr>
                <w:rFonts w:hint="default" w:eastAsiaTheme="minorEastAsia"/>
                <w:lang w:val="en-US" w:eastAsia="zh-CN"/>
              </w:rPr>
            </w:pPr>
            <w:r>
              <w:rPr>
                <w:rFonts w:hint="eastAsia" w:asciiTheme="minorEastAsia" w:hAnsiTheme="minorEastAsia" w:eastAsiaTheme="minorEastAsia"/>
                <w:sz w:val="21"/>
                <w:szCs w:val="21"/>
                <w:lang w:val="en-US" w:eastAsia="zh-CN"/>
              </w:rPr>
              <w:t xml:space="preserve">   自体系运行以来无重大变更。</w:t>
            </w:r>
          </w:p>
        </w:tc>
        <w:tc>
          <w:tcPr>
            <w:tcW w:w="730"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3" w:hRule="atLeast"/>
        </w:trPr>
        <w:tc>
          <w:tcPr>
            <w:tcW w:w="1189" w:type="dxa"/>
            <w:vAlign w:val="top"/>
          </w:tcPr>
          <w:p>
            <w:pPr>
              <w:spacing w:line="280" w:lineRule="exact"/>
              <w:rPr>
                <w:rFonts w:hint="eastAsia" w:ascii="宋体" w:hAnsi="宋体" w:cs="Arial"/>
                <w:spacing w:val="-6"/>
                <w:szCs w:val="21"/>
              </w:rPr>
            </w:pPr>
            <w:r>
              <w:rPr>
                <w:rFonts w:hint="eastAsia" w:ascii="宋体" w:hAnsi="宋体" w:cs="Arial"/>
                <w:spacing w:val="-6"/>
                <w:sz w:val="21"/>
                <w:szCs w:val="21"/>
              </w:rPr>
              <w:t>资源总则</w:t>
            </w:r>
          </w:p>
        </w:tc>
        <w:tc>
          <w:tcPr>
            <w:tcW w:w="717" w:type="dxa"/>
            <w:vAlign w:val="top"/>
          </w:tcPr>
          <w:p>
            <w:pPr>
              <w:spacing w:line="280" w:lineRule="exact"/>
              <w:rPr>
                <w:rFonts w:cs="Arial" w:asciiTheme="minorEastAsia" w:hAnsiTheme="minorEastAsia" w:eastAsiaTheme="minorEastAsia"/>
                <w:spacing w:val="-6"/>
                <w:szCs w:val="24"/>
              </w:rPr>
            </w:pPr>
            <w:r>
              <w:rPr>
                <w:rFonts w:hint="eastAsia" w:ascii="宋体" w:hAnsi="宋体" w:cs="Arial"/>
                <w:spacing w:val="-6"/>
                <w:sz w:val="21"/>
                <w:szCs w:val="21"/>
              </w:rPr>
              <w:t>7.1.1</w:t>
            </w:r>
          </w:p>
        </w:tc>
        <w:tc>
          <w:tcPr>
            <w:tcW w:w="12258" w:type="dxa"/>
            <w:vAlign w:val="center"/>
          </w:tcPr>
          <w:p>
            <w:pPr>
              <w:spacing w:line="280" w:lineRule="exact"/>
              <w:ind w:firstLine="420" w:firstLineChars="200"/>
              <w:jc w:val="left"/>
              <w:rPr>
                <w:rFonts w:hint="eastAsia"/>
              </w:rPr>
            </w:pPr>
            <w:r>
              <w:rPr>
                <w:rFonts w:hint="eastAsia"/>
              </w:rPr>
              <w:t>公司配备了必要的</w:t>
            </w:r>
            <w:r>
              <w:rPr>
                <w:rFonts w:hint="eastAsia"/>
                <w:lang w:val="en-US" w:eastAsia="zh-CN"/>
              </w:rPr>
              <w:t>厂房设施、</w:t>
            </w:r>
            <w:r>
              <w:rPr>
                <w:rFonts w:hint="eastAsia"/>
              </w:rPr>
              <w:t>人力资源</w:t>
            </w:r>
            <w:r>
              <w:rPr>
                <w:rFonts w:hint="eastAsia"/>
                <w:lang w:eastAsia="zh-CN"/>
              </w:rPr>
              <w:t>、</w:t>
            </w:r>
            <w:r>
              <w:rPr>
                <w:rFonts w:hint="eastAsia"/>
                <w:lang w:val="en-US" w:eastAsia="zh-CN"/>
              </w:rPr>
              <w:t>设备</w:t>
            </w:r>
            <w:r>
              <w:rPr>
                <w:rFonts w:hint="eastAsia"/>
              </w:rPr>
              <w:t>、办公用品等及规范文件、资金等必要的资源，能够持续满足顾客需求和管理体系运行改进的需要；</w:t>
            </w:r>
          </w:p>
          <w:p>
            <w:pPr>
              <w:spacing w:line="280" w:lineRule="exact"/>
              <w:ind w:firstLine="420" w:firstLineChars="200"/>
              <w:rPr>
                <w:rFonts w:hint="eastAsia" w:asciiTheme="minorEastAsia" w:hAnsiTheme="minorEastAsia" w:eastAsiaTheme="minorEastAsia"/>
                <w:sz w:val="21"/>
                <w:szCs w:val="21"/>
              </w:rPr>
            </w:pPr>
            <w:r>
              <w:rPr>
                <w:rFonts w:hint="eastAsia"/>
                <w:lang w:val="en-US" w:eastAsia="zh-CN"/>
              </w:rPr>
              <w:t>目前资源能够满足当前实际需要。</w:t>
            </w:r>
          </w:p>
        </w:tc>
        <w:tc>
          <w:tcPr>
            <w:tcW w:w="730" w:type="dxa"/>
            <w:vAlign w:val="top"/>
          </w:tcPr>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5" w:hRule="atLeast"/>
        </w:trPr>
        <w:tc>
          <w:tcPr>
            <w:tcW w:w="1189" w:type="dxa"/>
            <w:vAlign w:val="top"/>
          </w:tcPr>
          <w:p>
            <w:pPr>
              <w:spacing w:line="280" w:lineRule="exact"/>
              <w:rPr>
                <w:rFonts w:cs="Times New Roman" w:asciiTheme="minorEastAsia" w:hAnsiTheme="minorEastAsia" w:eastAsiaTheme="minorEastAsia"/>
                <w:kern w:val="2"/>
                <w:sz w:val="21"/>
                <w:lang w:val="en-US" w:eastAsia="zh-CN" w:bidi="ar-SA"/>
              </w:rPr>
            </w:pPr>
            <w:r>
              <w:rPr>
                <w:rFonts w:hint="eastAsia" w:ascii="宋体" w:hAnsi="宋体" w:cs="Arial"/>
                <w:spacing w:val="-6"/>
                <w:szCs w:val="21"/>
              </w:rPr>
              <w:t>沟通</w:t>
            </w:r>
          </w:p>
        </w:tc>
        <w:tc>
          <w:tcPr>
            <w:tcW w:w="717" w:type="dxa"/>
            <w:vAlign w:val="top"/>
          </w:tcPr>
          <w:p>
            <w:pPr>
              <w:spacing w:line="280" w:lineRule="exact"/>
              <w:rPr>
                <w:rFonts w:cs="Times New Roman" w:asciiTheme="minorEastAsia" w:hAnsiTheme="minorEastAsia" w:eastAsiaTheme="minorEastAsia"/>
                <w:kern w:val="2"/>
                <w:sz w:val="21"/>
                <w:lang w:val="en-US" w:eastAsia="zh-CN" w:bidi="ar-SA"/>
              </w:rPr>
            </w:pPr>
            <w:r>
              <w:rPr>
                <w:rFonts w:cs="Arial" w:asciiTheme="minorEastAsia" w:hAnsiTheme="minorEastAsia" w:eastAsiaTheme="minorEastAsia"/>
                <w:spacing w:val="-6"/>
                <w:szCs w:val="24"/>
              </w:rPr>
              <w:t xml:space="preserve"> 7.4</w:t>
            </w:r>
          </w:p>
        </w:tc>
        <w:tc>
          <w:tcPr>
            <w:tcW w:w="12258" w:type="dxa"/>
            <w:vAlign w:val="center"/>
          </w:tcPr>
          <w:p>
            <w:pPr>
              <w:spacing w:line="28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公司确定了质量管理体系相关的内部和外部沟通，包括：沟通什么；何时沟通；与谁沟通；如何沟通；由谁负责，内外部沟通具体体现在公司内部工作会议、质量会议、员工的培训、公司宣传栏等；</w:t>
            </w:r>
          </w:p>
          <w:p>
            <w:pPr>
              <w:spacing w:line="28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公司建立沟通</w:t>
            </w:r>
            <w:r>
              <w:rPr>
                <w:rFonts w:hint="eastAsia" w:asciiTheme="minorEastAsia" w:hAnsiTheme="minorEastAsia" w:eastAsiaTheme="minorEastAsia"/>
                <w:sz w:val="21"/>
                <w:szCs w:val="21"/>
                <w:lang w:val="en-US" w:eastAsia="zh-CN"/>
              </w:rPr>
              <w:t>渠道并进行管理</w:t>
            </w:r>
            <w:r>
              <w:rPr>
                <w:rFonts w:hint="eastAsia" w:asciiTheme="minorEastAsia" w:hAnsiTheme="minorEastAsia" w:eastAsiaTheme="minorEastAsia"/>
                <w:sz w:val="21"/>
                <w:szCs w:val="21"/>
              </w:rPr>
              <w:t>，明确职责、工作流程，包括内部沟通和外部沟通的方法和要求。</w:t>
            </w:r>
          </w:p>
          <w:p>
            <w:pPr>
              <w:spacing w:line="28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与外部的沟通具体体现在合同签订、满意度调查</w:t>
            </w:r>
            <w:r>
              <w:rPr>
                <w:rFonts w:hint="eastAsia" w:asciiTheme="minorEastAsia" w:hAnsiTheme="minorEastAsia" w:eastAsiaTheme="minorEastAsia"/>
                <w:sz w:val="21"/>
                <w:szCs w:val="21"/>
                <w:lang w:eastAsia="zh-CN"/>
              </w:rPr>
              <w:t>，</w:t>
            </w:r>
            <w:r>
              <w:rPr>
                <w:rFonts w:hint="eastAsia" w:asciiTheme="minorEastAsia" w:hAnsiTheme="minorEastAsia" w:eastAsiaTheme="minorEastAsia"/>
                <w:sz w:val="21"/>
                <w:szCs w:val="21"/>
              </w:rPr>
              <w:t>与质检及顾客和供方等进行沟通。</w:t>
            </w:r>
          </w:p>
          <w:p>
            <w:pPr>
              <w:spacing w:line="280" w:lineRule="exact"/>
              <w:ind w:firstLine="420" w:firstLineChars="200"/>
              <w:rPr>
                <w:rFonts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 w:val="21"/>
                <w:szCs w:val="21"/>
              </w:rPr>
              <w:t>现场查阅内部交流：方针、目标完成情况、内审和管理评审报告、不符合信息等。</w:t>
            </w:r>
          </w:p>
        </w:tc>
        <w:tc>
          <w:tcPr>
            <w:tcW w:w="730"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189" w:type="dxa"/>
            <w:vAlign w:val="top"/>
          </w:tcPr>
          <w:p>
            <w:pPr>
              <w:spacing w:line="2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管理评审</w:t>
            </w:r>
          </w:p>
          <w:p>
            <w:pPr>
              <w:spacing w:line="280" w:lineRule="exact"/>
              <w:rPr>
                <w:rFonts w:cs="Times New Roman" w:asciiTheme="minorEastAsia" w:hAnsiTheme="minorEastAsia" w:eastAsiaTheme="minorEastAsia"/>
                <w:kern w:val="2"/>
                <w:sz w:val="21"/>
                <w:lang w:val="en-US" w:eastAsia="zh-CN" w:bidi="ar-SA"/>
              </w:rPr>
            </w:pPr>
          </w:p>
        </w:tc>
        <w:tc>
          <w:tcPr>
            <w:tcW w:w="717" w:type="dxa"/>
            <w:vAlign w:val="top"/>
          </w:tcPr>
          <w:p>
            <w:pPr>
              <w:spacing w:line="280" w:lineRule="exact"/>
              <w:rPr>
                <w:rFonts w:asciiTheme="minorEastAsia" w:hAnsiTheme="minorEastAsia" w:eastAsiaTheme="minorEastAsia"/>
                <w:szCs w:val="21"/>
              </w:rPr>
            </w:pPr>
            <w:r>
              <w:rPr>
                <w:rFonts w:asciiTheme="minorEastAsia" w:hAnsiTheme="minorEastAsia" w:eastAsiaTheme="minorEastAsia"/>
                <w:szCs w:val="21"/>
              </w:rPr>
              <w:t xml:space="preserve"> </w:t>
            </w:r>
            <w:r>
              <w:rPr>
                <w:rFonts w:hint="eastAsia" w:asciiTheme="minorEastAsia" w:hAnsiTheme="minorEastAsia" w:eastAsiaTheme="minorEastAsia"/>
                <w:szCs w:val="21"/>
              </w:rPr>
              <w:t>9.3</w:t>
            </w:r>
          </w:p>
          <w:p>
            <w:pPr>
              <w:spacing w:line="280" w:lineRule="exact"/>
              <w:rPr>
                <w:rFonts w:asciiTheme="minorEastAsia" w:hAnsiTheme="minorEastAsia" w:eastAsiaTheme="minorEastAsia"/>
                <w:szCs w:val="21"/>
              </w:rPr>
            </w:pPr>
          </w:p>
          <w:p>
            <w:pPr>
              <w:spacing w:line="280" w:lineRule="exact"/>
              <w:rPr>
                <w:rFonts w:cs="Times New Roman" w:asciiTheme="minorEastAsia" w:hAnsiTheme="minorEastAsia" w:eastAsiaTheme="minorEastAsia"/>
                <w:kern w:val="2"/>
                <w:sz w:val="21"/>
                <w:lang w:val="en-US" w:eastAsia="zh-CN" w:bidi="ar-SA"/>
              </w:rPr>
            </w:pPr>
          </w:p>
        </w:tc>
        <w:tc>
          <w:tcPr>
            <w:tcW w:w="12258" w:type="dxa"/>
            <w:vAlign w:val="center"/>
          </w:tcPr>
          <w:p>
            <w:pPr>
              <w:spacing w:line="240" w:lineRule="auto"/>
              <w:ind w:leftChars="200" w:firstLine="420" w:firstLineChars="20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公司建立并实施《管理评审控制程序》，规定管理评审每年进行一次，由总经理决定是否增加管理评审的频次，间隔不超过12个月。</w:t>
            </w:r>
          </w:p>
          <w:p>
            <w:pPr>
              <w:spacing w:line="240" w:lineRule="auto"/>
              <w:ind w:leftChars="200" w:firstLine="420" w:firstLineChars="20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查阅公司管理评审资料，提供：</w:t>
            </w:r>
          </w:p>
          <w:p>
            <w:pPr>
              <w:spacing w:line="240" w:lineRule="auto"/>
              <w:ind w:leftChars="200" w:firstLine="420" w:firstLineChars="20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1.管理评审计划</w:t>
            </w:r>
          </w:p>
          <w:p>
            <w:pPr>
              <w:spacing w:line="240" w:lineRule="auto"/>
              <w:ind w:leftChars="200" w:firstLine="420" w:firstLineChars="20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评审时间：2021年</w:t>
            </w:r>
            <w:r>
              <w:rPr>
                <w:rFonts w:hint="eastAsia" w:asciiTheme="minorEastAsia" w:hAnsiTheme="minorEastAsia" w:eastAsiaTheme="minorEastAsia"/>
                <w:sz w:val="21"/>
                <w:szCs w:val="21"/>
                <w:lang w:val="en-US" w:eastAsia="zh-CN"/>
              </w:rPr>
              <w:t>11</w:t>
            </w:r>
            <w:r>
              <w:rPr>
                <w:rFonts w:hint="eastAsia" w:asciiTheme="minorEastAsia" w:hAnsiTheme="minorEastAsia" w:eastAsiaTheme="minorEastAsia"/>
                <w:sz w:val="21"/>
                <w:szCs w:val="21"/>
              </w:rPr>
              <w:t>月</w:t>
            </w:r>
            <w:r>
              <w:rPr>
                <w:rFonts w:hint="eastAsia" w:asciiTheme="minorEastAsia" w:hAnsiTheme="minorEastAsia" w:eastAsiaTheme="minorEastAsia"/>
                <w:sz w:val="21"/>
                <w:szCs w:val="21"/>
                <w:lang w:val="en-US" w:eastAsia="zh-CN"/>
              </w:rPr>
              <w:t>1</w:t>
            </w:r>
            <w:r>
              <w:rPr>
                <w:rFonts w:hint="eastAsia" w:asciiTheme="minorEastAsia" w:hAnsiTheme="minorEastAsia" w:eastAsiaTheme="minorEastAsia"/>
                <w:sz w:val="21"/>
                <w:szCs w:val="21"/>
              </w:rPr>
              <w:t>日进行， 评审目的、</w:t>
            </w:r>
            <w:r>
              <w:rPr>
                <w:rFonts w:hint="eastAsia" w:asciiTheme="minorEastAsia" w:hAnsiTheme="minorEastAsia" w:eastAsiaTheme="minorEastAsia"/>
                <w:sz w:val="21"/>
                <w:szCs w:val="21"/>
                <w:lang w:val="en-US" w:eastAsia="zh-CN"/>
              </w:rPr>
              <w:t>依据</w:t>
            </w:r>
            <w:r>
              <w:rPr>
                <w:rFonts w:hint="eastAsia" w:asciiTheme="minorEastAsia" w:hAnsiTheme="minorEastAsia" w:eastAsiaTheme="minorEastAsia"/>
                <w:sz w:val="21"/>
                <w:szCs w:val="21"/>
              </w:rPr>
              <w:t>、评审</w:t>
            </w:r>
            <w:r>
              <w:rPr>
                <w:rFonts w:hint="eastAsia" w:asciiTheme="minorEastAsia" w:hAnsiTheme="minorEastAsia" w:eastAsiaTheme="minorEastAsia"/>
                <w:sz w:val="21"/>
                <w:szCs w:val="21"/>
                <w:lang w:val="en-US" w:eastAsia="zh-CN"/>
              </w:rPr>
              <w:t>内容</w:t>
            </w:r>
            <w:r>
              <w:rPr>
                <w:rFonts w:hint="eastAsia" w:asciiTheme="minorEastAsia" w:hAnsiTheme="minorEastAsia" w:eastAsiaTheme="minorEastAsia"/>
                <w:sz w:val="21"/>
                <w:szCs w:val="21"/>
              </w:rPr>
              <w:t>、</w:t>
            </w:r>
            <w:r>
              <w:rPr>
                <w:rFonts w:hint="eastAsia" w:asciiTheme="minorEastAsia" w:hAnsiTheme="minorEastAsia" w:eastAsiaTheme="minorEastAsia"/>
                <w:sz w:val="21"/>
                <w:szCs w:val="21"/>
                <w:lang w:val="en-US" w:eastAsia="zh-CN"/>
              </w:rPr>
              <w:t>参加部门或人员、各部门</w:t>
            </w:r>
            <w:r>
              <w:rPr>
                <w:rFonts w:hint="eastAsia" w:asciiTheme="minorEastAsia" w:hAnsiTheme="minorEastAsia" w:eastAsiaTheme="minorEastAsia"/>
                <w:sz w:val="21"/>
                <w:szCs w:val="21"/>
              </w:rPr>
              <w:t>评审准备工作要求</w:t>
            </w:r>
            <w:r>
              <w:rPr>
                <w:rFonts w:hint="eastAsia" w:asciiTheme="minorEastAsia" w:hAnsiTheme="minorEastAsia" w:eastAsiaTheme="minorEastAsia"/>
                <w:sz w:val="21"/>
                <w:szCs w:val="21"/>
                <w:lang w:eastAsia="zh-CN"/>
              </w:rPr>
              <w:t>、</w:t>
            </w:r>
            <w:r>
              <w:rPr>
                <w:rFonts w:hint="eastAsia" w:asciiTheme="minorEastAsia" w:hAnsiTheme="minorEastAsia" w:eastAsiaTheme="minorEastAsia"/>
                <w:sz w:val="21"/>
                <w:szCs w:val="21"/>
                <w:lang w:val="en-US" w:eastAsia="zh-CN"/>
              </w:rPr>
              <w:t>评审时间、评审地点</w:t>
            </w:r>
            <w:r>
              <w:rPr>
                <w:rFonts w:hint="eastAsia" w:asciiTheme="minorEastAsia" w:hAnsiTheme="minorEastAsia" w:eastAsiaTheme="minorEastAsia"/>
                <w:sz w:val="21"/>
                <w:szCs w:val="21"/>
              </w:rPr>
              <w:t>， 批准：</w:t>
            </w:r>
            <w:r>
              <w:rPr>
                <w:rFonts w:hint="eastAsia" w:asciiTheme="minorEastAsia" w:hAnsiTheme="minorEastAsia" w:eastAsiaTheme="minorEastAsia"/>
                <w:sz w:val="21"/>
                <w:szCs w:val="21"/>
                <w:lang w:eastAsia="zh-CN"/>
              </w:rPr>
              <w:t>邢金辉</w:t>
            </w:r>
            <w:r>
              <w:rPr>
                <w:rFonts w:hint="eastAsia" w:asciiTheme="minorEastAsia" w:hAnsiTheme="minorEastAsia" w:eastAsiaTheme="minorEastAsia"/>
                <w:sz w:val="21"/>
                <w:szCs w:val="21"/>
              </w:rPr>
              <w:t xml:space="preserve">   </w:t>
            </w:r>
          </w:p>
          <w:p>
            <w:pPr>
              <w:spacing w:line="240" w:lineRule="auto"/>
              <w:ind w:leftChars="200" w:firstLine="420" w:firstLineChars="20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2.按计划的时间实施了管理评审，</w:t>
            </w:r>
            <w:r>
              <w:rPr>
                <w:rFonts w:hint="eastAsia" w:asciiTheme="minorEastAsia" w:hAnsiTheme="minorEastAsia" w:eastAsiaTheme="minorEastAsia"/>
                <w:sz w:val="21"/>
                <w:szCs w:val="21"/>
                <w:lang w:val="en-US" w:eastAsia="zh-CN"/>
              </w:rPr>
              <w:t>总经理乔学斌主持会议，</w:t>
            </w:r>
            <w:r>
              <w:rPr>
                <w:rFonts w:hint="eastAsia" w:asciiTheme="minorEastAsia" w:hAnsiTheme="minorEastAsia" w:eastAsiaTheme="minorEastAsia"/>
                <w:sz w:val="21"/>
                <w:szCs w:val="21"/>
              </w:rPr>
              <w:t>管理评审输入管理体系运行报告、</w:t>
            </w:r>
            <w:r>
              <w:rPr>
                <w:rFonts w:hint="eastAsia" w:asciiTheme="minorEastAsia" w:hAnsiTheme="minorEastAsia" w:eastAsiaTheme="minorEastAsia"/>
                <w:sz w:val="21"/>
                <w:szCs w:val="21"/>
                <w:lang w:val="en-US" w:eastAsia="zh-CN"/>
              </w:rPr>
              <w:t>各</w:t>
            </w:r>
            <w:r>
              <w:rPr>
                <w:rFonts w:hint="eastAsia" w:asciiTheme="minorEastAsia" w:hAnsiTheme="minorEastAsia" w:eastAsiaTheme="minorEastAsia"/>
                <w:sz w:val="21"/>
                <w:szCs w:val="21"/>
              </w:rPr>
              <w:t>部门</w:t>
            </w:r>
            <w:r>
              <w:rPr>
                <w:rFonts w:hint="eastAsia" w:asciiTheme="minorEastAsia" w:hAnsiTheme="minorEastAsia" w:eastAsiaTheme="minorEastAsia"/>
                <w:sz w:val="21"/>
                <w:szCs w:val="21"/>
                <w:lang w:val="en-US" w:eastAsia="zh-CN"/>
              </w:rPr>
              <w:t>评审</w:t>
            </w:r>
            <w:r>
              <w:rPr>
                <w:rFonts w:hint="eastAsia" w:asciiTheme="minorEastAsia" w:hAnsiTheme="minorEastAsia" w:eastAsiaTheme="minorEastAsia"/>
                <w:sz w:val="21"/>
                <w:szCs w:val="21"/>
              </w:rPr>
              <w:t>报告，包含：管理方针、目标的适宜行和实现情况；管理体系的符合性；内审结果；内外部环境分析及风险应对措施的落实情况；纠正预防措施及持续改进能力；可能影响管理体系的变更；质量事故、顾客满意度及改进建议，变更管理要求、以往管理评审情况等；</w:t>
            </w:r>
          </w:p>
          <w:p>
            <w:pPr>
              <w:spacing w:line="240" w:lineRule="auto"/>
              <w:ind w:leftChars="200"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rPr>
              <w:t>3.管理评审报告：评审目的、地点会议室、评审内容、评审时间、参加评审人员、评审内容摘要，评审结论</w:t>
            </w:r>
            <w:r>
              <w:rPr>
                <w:rFonts w:hint="eastAsia" w:asciiTheme="minorEastAsia" w:hAnsiTheme="minorEastAsia" w:eastAsiaTheme="minorEastAsia"/>
                <w:sz w:val="21"/>
                <w:szCs w:val="21"/>
                <w:lang w:eastAsia="zh-CN"/>
              </w:rPr>
              <w:t>：</w:t>
            </w:r>
          </w:p>
          <w:p>
            <w:pPr>
              <w:spacing w:line="240" w:lineRule="auto"/>
              <w:ind w:leftChars="200" w:firstLine="420" w:firstLineChars="20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公司质量体系是适宜的、充分的、有效的，通过各位管理人员和全体职工的共同努力，企业的管理水平不断提高，企业经济效益也日益增高。</w:t>
            </w:r>
          </w:p>
          <w:p>
            <w:pPr>
              <w:spacing w:line="240" w:lineRule="auto"/>
              <w:ind w:leftChars="200" w:firstLine="420" w:firstLineChars="20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改进建议要求：</w:t>
            </w:r>
          </w:p>
          <w:p>
            <w:pPr>
              <w:spacing w:line="240" w:lineRule="auto"/>
              <w:ind w:leftChars="200" w:firstLine="420" w:firstLineChars="200"/>
              <w:rPr>
                <w:rFonts w:hint="default" w:asciiTheme="minorEastAsia" w:hAnsiTheme="minorEastAsia" w:eastAsiaTheme="minorEastAsia"/>
                <w:sz w:val="21"/>
                <w:szCs w:val="21"/>
                <w:lang w:val="en-US" w:eastAsia="zh-CN"/>
              </w:rPr>
            </w:pPr>
            <w:r>
              <w:rPr>
                <w:rFonts w:hint="eastAsia" w:asciiTheme="minorEastAsia" w:hAnsiTheme="minorEastAsia" w:eastAsiaTheme="minorEastAsia"/>
                <w:sz w:val="21"/>
                <w:szCs w:val="21"/>
              </w:rPr>
              <w:t>由生产部加强现场管理，做好整理整顿和产品标识</w:t>
            </w:r>
            <w:r>
              <w:rPr>
                <w:rFonts w:hint="eastAsia" w:asciiTheme="minorEastAsia" w:hAnsiTheme="minorEastAsia" w:eastAsiaTheme="minorEastAsia"/>
                <w:sz w:val="21"/>
                <w:szCs w:val="21"/>
                <w:lang w:eastAsia="zh-CN"/>
              </w:rPr>
              <w:t>，</w:t>
            </w:r>
            <w:r>
              <w:rPr>
                <w:rFonts w:hint="eastAsia" w:asciiTheme="minorEastAsia" w:hAnsiTheme="minorEastAsia" w:eastAsiaTheme="minorEastAsia"/>
                <w:sz w:val="21"/>
                <w:szCs w:val="21"/>
                <w:lang w:val="en-US" w:eastAsia="zh-CN"/>
              </w:rPr>
              <w:t>并明确负责人及措施，有纠正或预防措施记录表，并提供11月3日改进项目涉及文件和知识培训学习记录。</w:t>
            </w:r>
          </w:p>
          <w:p>
            <w:pPr>
              <w:spacing w:line="240" w:lineRule="auto"/>
              <w:ind w:left="420" w:leftChars="200" w:firstLine="420" w:firstLineChars="200"/>
              <w:rPr>
                <w:rFonts w:hint="eastAsia"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 w:val="21"/>
                <w:szCs w:val="21"/>
                <w:lang w:val="en-US" w:eastAsia="zh-CN"/>
              </w:rPr>
              <w:t>按</w:t>
            </w:r>
            <w:r>
              <w:rPr>
                <w:rFonts w:hint="eastAsia" w:asciiTheme="minorEastAsia" w:hAnsiTheme="minorEastAsia" w:eastAsiaTheme="minorEastAsia"/>
                <w:sz w:val="21"/>
                <w:szCs w:val="21"/>
              </w:rPr>
              <w:t>改进</w:t>
            </w:r>
            <w:r>
              <w:rPr>
                <w:rFonts w:hint="eastAsia" w:asciiTheme="minorEastAsia" w:hAnsiTheme="minorEastAsia" w:eastAsiaTheme="minorEastAsia"/>
                <w:sz w:val="21"/>
                <w:szCs w:val="21"/>
                <w:lang w:val="en-US" w:eastAsia="zh-CN"/>
              </w:rPr>
              <w:t>措施实、有效</w:t>
            </w:r>
            <w:r>
              <w:rPr>
                <w:rFonts w:hint="eastAsia" w:asciiTheme="minorEastAsia" w:hAnsiTheme="minorEastAsia" w:eastAsiaTheme="minorEastAsia"/>
                <w:sz w:val="21"/>
                <w:szCs w:val="21"/>
              </w:rPr>
              <w:t>。</w:t>
            </w:r>
          </w:p>
        </w:tc>
        <w:tc>
          <w:tcPr>
            <w:tcW w:w="730"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1189" w:type="dxa"/>
            <w:vAlign w:val="top"/>
          </w:tcPr>
          <w:p>
            <w:pPr>
              <w:spacing w:line="2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改进总则</w:t>
            </w:r>
          </w:p>
          <w:p>
            <w:pPr>
              <w:spacing w:line="280" w:lineRule="exact"/>
              <w:rPr>
                <w:rFonts w:cs="Times New Roman" w:asciiTheme="minorEastAsia" w:hAnsiTheme="minorEastAsia" w:eastAsiaTheme="minorEastAsia"/>
                <w:kern w:val="2"/>
                <w:sz w:val="21"/>
                <w:lang w:val="en-US" w:eastAsia="zh-CN" w:bidi="ar-SA"/>
              </w:rPr>
            </w:pPr>
          </w:p>
        </w:tc>
        <w:tc>
          <w:tcPr>
            <w:tcW w:w="717" w:type="dxa"/>
            <w:vAlign w:val="top"/>
          </w:tcPr>
          <w:p>
            <w:pPr>
              <w:spacing w:line="280" w:lineRule="exact"/>
              <w:rPr>
                <w:rFonts w:asciiTheme="minorEastAsia" w:hAnsiTheme="minorEastAsia" w:eastAsiaTheme="minorEastAsia"/>
                <w:szCs w:val="21"/>
              </w:rPr>
            </w:pPr>
            <w:r>
              <w:rPr>
                <w:rFonts w:hint="eastAsia" w:asciiTheme="minorEastAsia" w:hAnsiTheme="minorEastAsia" w:eastAsiaTheme="minorEastAsia"/>
                <w:szCs w:val="21"/>
              </w:rPr>
              <w:t xml:space="preserve"> 10.1</w:t>
            </w:r>
          </w:p>
          <w:p>
            <w:pPr>
              <w:spacing w:line="280" w:lineRule="exact"/>
              <w:rPr>
                <w:rFonts w:cs="Times New Roman" w:asciiTheme="minorEastAsia" w:hAnsiTheme="minorEastAsia" w:eastAsiaTheme="minorEastAsia"/>
                <w:kern w:val="2"/>
                <w:sz w:val="21"/>
                <w:lang w:val="en-US" w:eastAsia="zh-CN" w:bidi="ar-SA"/>
              </w:rPr>
            </w:pPr>
          </w:p>
        </w:tc>
        <w:tc>
          <w:tcPr>
            <w:tcW w:w="12258" w:type="dxa"/>
            <w:vAlign w:val="center"/>
          </w:tcPr>
          <w:p>
            <w:pPr>
              <w:spacing w:line="280" w:lineRule="exact"/>
              <w:ind w:firstLine="420" w:firstLineChars="2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公司通过管理体系方针、目标、内部审核、管理评审、不合格和纠正措施各项要求落实，确定和选择改进机会，并采取必要措施确保相关改进活动得到有效开展，以满足顾客要求和增强顾客满意。</w:t>
            </w:r>
          </w:p>
          <w:p>
            <w:pPr>
              <w:spacing w:line="280" w:lineRule="exact"/>
              <w:ind w:firstLine="420" w:firstLineChars="200"/>
              <w:rPr>
                <w:rFonts w:cs="Times New Roman"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sz w:val="21"/>
                <w:szCs w:val="21"/>
              </w:rPr>
              <w:t>包括改进产品和服务，纠正、预防或减少不利影响，改进体系绩效和有效性。</w:t>
            </w:r>
          </w:p>
        </w:tc>
        <w:tc>
          <w:tcPr>
            <w:tcW w:w="730"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1189" w:type="dxa"/>
            <w:vAlign w:val="top"/>
          </w:tcPr>
          <w:p>
            <w:pPr>
              <w:spacing w:line="280" w:lineRule="exact"/>
              <w:rPr>
                <w:rFonts w:cs="Times New Roman" w:asciiTheme="minorEastAsia" w:hAnsiTheme="minorEastAsia" w:eastAsiaTheme="minorEastAsia"/>
                <w:kern w:val="2"/>
                <w:sz w:val="21"/>
                <w:lang w:val="en-US" w:eastAsia="zh-CN" w:bidi="ar-SA"/>
              </w:rPr>
            </w:pPr>
            <w:r>
              <w:rPr>
                <w:rFonts w:hint="eastAsia" w:cs="宋体" w:asciiTheme="minorEastAsia" w:hAnsiTheme="minorEastAsia" w:eastAsiaTheme="minorEastAsia"/>
                <w:szCs w:val="21"/>
              </w:rPr>
              <w:t>持续改进</w:t>
            </w:r>
          </w:p>
        </w:tc>
        <w:tc>
          <w:tcPr>
            <w:tcW w:w="717" w:type="dxa"/>
            <w:vAlign w:val="top"/>
          </w:tcPr>
          <w:p>
            <w:pPr>
              <w:spacing w:line="280" w:lineRule="exact"/>
              <w:rPr>
                <w:rFonts w:asciiTheme="minorEastAsia" w:hAnsiTheme="minorEastAsia" w:eastAsiaTheme="minorEastAsia"/>
                <w:szCs w:val="21"/>
              </w:rPr>
            </w:pPr>
            <w:r>
              <w:rPr>
                <w:rFonts w:hint="eastAsia" w:asciiTheme="minorEastAsia" w:hAnsiTheme="minorEastAsia" w:eastAsiaTheme="minorEastAsia"/>
                <w:szCs w:val="21"/>
              </w:rPr>
              <w:t xml:space="preserve"> 10.3</w:t>
            </w:r>
          </w:p>
          <w:p>
            <w:pPr>
              <w:spacing w:line="280" w:lineRule="exact"/>
              <w:rPr>
                <w:rFonts w:cs="Times New Roman" w:asciiTheme="minorEastAsia" w:hAnsiTheme="minorEastAsia" w:eastAsiaTheme="minorEastAsia"/>
                <w:kern w:val="2"/>
                <w:sz w:val="21"/>
                <w:lang w:val="en-US" w:eastAsia="zh-CN" w:bidi="ar-SA"/>
              </w:rPr>
            </w:pPr>
          </w:p>
        </w:tc>
        <w:tc>
          <w:tcPr>
            <w:tcW w:w="12258" w:type="dxa"/>
            <w:vAlign w:val="center"/>
          </w:tcPr>
          <w:p>
            <w:pPr>
              <w:spacing w:line="280" w:lineRule="exact"/>
              <w:rPr>
                <w:rFonts w:cs="Times New Roman"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sz w:val="21"/>
                <w:szCs w:val="21"/>
              </w:rPr>
              <w:t xml:space="preserve">  公司建立并实施</w:t>
            </w:r>
            <w:r>
              <w:rPr>
                <w:rFonts w:hint="eastAsia" w:cs="宋体" w:asciiTheme="minorEastAsia" w:hAnsiTheme="minorEastAsia" w:eastAsiaTheme="minorEastAsia"/>
                <w:sz w:val="21"/>
                <w:szCs w:val="21"/>
                <w:lang w:eastAsia="zh-CN"/>
              </w:rPr>
              <w:t>《</w:t>
            </w:r>
            <w:r>
              <w:rPr>
                <w:rFonts w:hint="eastAsia" w:cs="宋体" w:asciiTheme="minorEastAsia" w:hAnsiTheme="minorEastAsia" w:eastAsiaTheme="minorEastAsia"/>
                <w:sz w:val="21"/>
                <w:szCs w:val="21"/>
                <w:lang w:val="en-US" w:eastAsia="zh-CN"/>
              </w:rPr>
              <w:t>改进控制程序</w:t>
            </w:r>
            <w:r>
              <w:rPr>
                <w:rFonts w:hint="eastAsia" w:cs="宋体" w:asciiTheme="minorEastAsia" w:hAnsiTheme="minorEastAsia" w:eastAsiaTheme="minorEastAsia"/>
                <w:sz w:val="21"/>
                <w:szCs w:val="21"/>
                <w:lang w:eastAsia="zh-CN"/>
              </w:rPr>
              <w:t>》</w:t>
            </w:r>
            <w:r>
              <w:rPr>
                <w:rFonts w:hint="eastAsia" w:cs="宋体" w:asciiTheme="minorEastAsia" w:hAnsiTheme="minorEastAsia" w:eastAsiaTheme="minorEastAsia"/>
                <w:sz w:val="21"/>
                <w:szCs w:val="21"/>
              </w:rPr>
              <w:t>，开展检查和考核工作、自查自纠及外部检查等形式，不断持续改进，提高顾客满意，持续改进管理体系的适宜性、充分性和有效性。</w:t>
            </w:r>
          </w:p>
        </w:tc>
        <w:tc>
          <w:tcPr>
            <w:tcW w:w="730" w:type="dxa"/>
            <w:vAlign w:val="top"/>
          </w:tcPr>
          <w:p>
            <w:pPr>
              <w:rPr>
                <w:rFonts w:ascii="Times New Roman" w:hAnsi="Times New Roman" w:eastAsia="宋体" w:cs="Times New Roman"/>
                <w:kern w:val="2"/>
                <w:sz w:val="21"/>
                <w:lang w:val="en-US" w:eastAsia="zh-CN" w:bidi="ar-SA"/>
              </w:rPr>
            </w:pPr>
            <w:r>
              <w:rPr>
                <w:rFonts w:hint="eastAsia"/>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189" w:type="dxa"/>
            <w:vAlign w:val="top"/>
          </w:tcPr>
          <w:p>
            <w:pPr>
              <w:spacing w:line="280" w:lineRule="exact"/>
              <w:rPr>
                <w:rFonts w:hint="default"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szCs w:val="21"/>
              </w:rPr>
              <w:t>资质</w:t>
            </w:r>
            <w:r>
              <w:rPr>
                <w:rFonts w:hint="eastAsia" w:cs="宋体" w:asciiTheme="minorEastAsia" w:hAnsiTheme="minorEastAsia" w:eastAsiaTheme="minorEastAsia"/>
                <w:szCs w:val="21"/>
                <w:lang w:val="en-US" w:eastAsia="zh-CN"/>
              </w:rPr>
              <w:t>验证</w:t>
            </w:r>
          </w:p>
        </w:tc>
        <w:tc>
          <w:tcPr>
            <w:tcW w:w="717" w:type="dxa"/>
            <w:vAlign w:val="top"/>
          </w:tcPr>
          <w:p>
            <w:pPr>
              <w:spacing w:line="280" w:lineRule="exact"/>
              <w:rPr>
                <w:rFonts w:cs="Times New Roman" w:asciiTheme="minorEastAsia" w:hAnsiTheme="minorEastAsia" w:eastAsiaTheme="minorEastAsia"/>
                <w:kern w:val="2"/>
                <w:sz w:val="21"/>
                <w:lang w:val="en-US" w:eastAsia="zh-CN" w:bidi="ar-SA"/>
              </w:rPr>
            </w:pPr>
          </w:p>
        </w:tc>
        <w:tc>
          <w:tcPr>
            <w:tcW w:w="12258" w:type="dxa"/>
            <w:vAlign w:val="center"/>
          </w:tcPr>
          <w:p>
            <w:pPr>
              <w:spacing w:line="280" w:lineRule="exact"/>
              <w:rPr>
                <w:rFonts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sz w:val="21"/>
                <w:szCs w:val="21"/>
              </w:rPr>
              <w:t>提供营业执照在有效期内，包含申请产品范围</w:t>
            </w:r>
          </w:p>
        </w:tc>
        <w:tc>
          <w:tcPr>
            <w:tcW w:w="730" w:type="dxa"/>
            <w:vAlign w:val="top"/>
          </w:tcPr>
          <w:p>
            <w:pPr>
              <w:rPr>
                <w:rFonts w:ascii="Times New Roman" w:hAnsi="Times New Roman" w:eastAsia="宋体" w:cs="Times New Roman"/>
                <w:kern w:val="2"/>
                <w:sz w:val="21"/>
                <w:lang w:val="en-US" w:eastAsia="zh-CN" w:bidi="ar-SA"/>
              </w:rPr>
            </w:pPr>
            <w:r>
              <w:rPr>
                <w:rFonts w:hint="eastAsia"/>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1189" w:type="dxa"/>
            <w:vAlign w:val="top"/>
          </w:tcPr>
          <w:p>
            <w:pPr>
              <w:spacing w:line="280" w:lineRule="exact"/>
              <w:rPr>
                <w:rFonts w:cs="Times New Roman" w:asciiTheme="minorEastAsia" w:hAnsiTheme="minorEastAsia" w:eastAsiaTheme="minorEastAsia"/>
                <w:kern w:val="2"/>
                <w:sz w:val="21"/>
                <w:lang w:val="en-US" w:eastAsia="zh-CN" w:bidi="ar-SA"/>
              </w:rPr>
            </w:pPr>
            <w:r>
              <w:rPr>
                <w:rFonts w:hint="eastAsia" w:cs="宋体" w:asciiTheme="minorEastAsia" w:hAnsiTheme="minorEastAsia" w:eastAsiaTheme="minorEastAsia"/>
                <w:szCs w:val="21"/>
              </w:rPr>
              <w:t>事故</w:t>
            </w:r>
          </w:p>
        </w:tc>
        <w:tc>
          <w:tcPr>
            <w:tcW w:w="717" w:type="dxa"/>
            <w:vAlign w:val="top"/>
          </w:tcPr>
          <w:p>
            <w:pPr>
              <w:spacing w:line="280" w:lineRule="exact"/>
              <w:rPr>
                <w:rFonts w:cs="Times New Roman" w:asciiTheme="minorEastAsia" w:hAnsiTheme="minorEastAsia" w:eastAsiaTheme="minorEastAsia"/>
                <w:kern w:val="2"/>
                <w:sz w:val="21"/>
                <w:lang w:val="en-US" w:eastAsia="zh-CN" w:bidi="ar-SA"/>
              </w:rPr>
            </w:pPr>
          </w:p>
        </w:tc>
        <w:tc>
          <w:tcPr>
            <w:tcW w:w="12258" w:type="dxa"/>
            <w:vAlign w:val="center"/>
          </w:tcPr>
          <w:p>
            <w:pPr>
              <w:spacing w:line="280" w:lineRule="exact"/>
              <w:rPr>
                <w:rFonts w:cs="Times New Roman"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sz w:val="21"/>
                <w:szCs w:val="21"/>
              </w:rPr>
              <w:t>公司管理体系自运行以来，未发生质量事故</w:t>
            </w:r>
          </w:p>
        </w:tc>
        <w:tc>
          <w:tcPr>
            <w:tcW w:w="730" w:type="dxa"/>
            <w:vAlign w:val="top"/>
          </w:tcPr>
          <w:p>
            <w:pPr>
              <w:rPr>
                <w:rFonts w:ascii="Times New Roman" w:hAnsi="Times New Roman" w:eastAsia="宋体" w:cs="Times New Roman"/>
                <w:kern w:val="2"/>
                <w:sz w:val="21"/>
                <w:lang w:val="en-US" w:eastAsia="zh-CN" w:bidi="ar-SA"/>
              </w:rPr>
            </w:pPr>
            <w:r>
              <w:rPr>
                <w:rFonts w:hint="eastAsia"/>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1189" w:type="dxa"/>
            <w:vAlign w:val="top"/>
          </w:tcPr>
          <w:p>
            <w:pPr>
              <w:spacing w:line="280" w:lineRule="exact"/>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rPr>
              <w:t>顾客满意、相关方投诉处理</w:t>
            </w:r>
          </w:p>
        </w:tc>
        <w:tc>
          <w:tcPr>
            <w:tcW w:w="717" w:type="dxa"/>
            <w:vAlign w:val="top"/>
          </w:tcPr>
          <w:p>
            <w:pPr>
              <w:spacing w:line="280" w:lineRule="exact"/>
              <w:rPr>
                <w:rFonts w:hint="eastAsia" w:cs="宋体" w:asciiTheme="minorEastAsia" w:hAnsiTheme="minorEastAsia" w:eastAsiaTheme="minorEastAsia"/>
                <w:sz w:val="21"/>
                <w:szCs w:val="21"/>
                <w:lang w:val="en-US" w:eastAsia="zh-CN"/>
              </w:rPr>
            </w:pPr>
          </w:p>
        </w:tc>
        <w:tc>
          <w:tcPr>
            <w:tcW w:w="12258" w:type="dxa"/>
            <w:vAlign w:val="center"/>
          </w:tcPr>
          <w:p>
            <w:pPr>
              <w:spacing w:line="280" w:lineRule="exact"/>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近年来</w:t>
            </w:r>
            <w:r>
              <w:rPr>
                <w:rFonts w:hint="eastAsia" w:cs="宋体" w:asciiTheme="minorEastAsia" w:hAnsiTheme="minorEastAsia" w:eastAsiaTheme="minorEastAsia"/>
                <w:sz w:val="21"/>
                <w:szCs w:val="21"/>
              </w:rPr>
              <w:t>未发生顾客及相关方投诉情况，日常顾客反馈意见或建议已及时处理</w:t>
            </w:r>
          </w:p>
        </w:tc>
        <w:tc>
          <w:tcPr>
            <w:tcW w:w="730" w:type="dxa"/>
            <w:vAlign w:val="top"/>
          </w:tcPr>
          <w:p>
            <w:pPr>
              <w:spacing w:line="280" w:lineRule="exact"/>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1189" w:type="dxa"/>
            <w:vAlign w:val="top"/>
          </w:tcPr>
          <w:p>
            <w:pPr>
              <w:spacing w:line="280" w:lineRule="exact"/>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rPr>
              <w:t>国家/地方抽查情况</w:t>
            </w:r>
          </w:p>
        </w:tc>
        <w:tc>
          <w:tcPr>
            <w:tcW w:w="717" w:type="dxa"/>
            <w:vAlign w:val="top"/>
          </w:tcPr>
          <w:p>
            <w:pPr>
              <w:spacing w:line="280" w:lineRule="exact"/>
              <w:rPr>
                <w:rFonts w:hint="eastAsia" w:cs="宋体" w:asciiTheme="minorEastAsia" w:hAnsiTheme="minorEastAsia" w:eastAsiaTheme="minorEastAsia"/>
                <w:sz w:val="21"/>
                <w:szCs w:val="21"/>
                <w:lang w:val="en-US" w:eastAsia="zh-CN"/>
              </w:rPr>
            </w:pPr>
          </w:p>
        </w:tc>
        <w:tc>
          <w:tcPr>
            <w:tcW w:w="12258" w:type="dxa"/>
            <w:vAlign w:val="center"/>
          </w:tcPr>
          <w:p>
            <w:pPr>
              <w:spacing w:line="280" w:lineRule="exact"/>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rPr>
              <w:t>上级主管部门对公司的在质量监督抽查，没有提出书面问题</w:t>
            </w:r>
          </w:p>
        </w:tc>
        <w:tc>
          <w:tcPr>
            <w:tcW w:w="730" w:type="dxa"/>
            <w:vAlign w:val="top"/>
          </w:tcPr>
          <w:p>
            <w:pPr>
              <w:spacing w:line="280" w:lineRule="exact"/>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1189" w:type="dxa"/>
            <w:vAlign w:val="top"/>
          </w:tcPr>
          <w:p>
            <w:pPr>
              <w:spacing w:line="280" w:lineRule="exact"/>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标准、规范执行、</w:t>
            </w:r>
            <w:r>
              <w:rPr>
                <w:rFonts w:hint="eastAsia" w:cs="宋体" w:asciiTheme="minorEastAsia" w:hAnsiTheme="minorEastAsia" w:eastAsiaTheme="minorEastAsia"/>
                <w:sz w:val="21"/>
                <w:szCs w:val="21"/>
              </w:rPr>
              <w:t>遵纪守法情况</w:t>
            </w:r>
          </w:p>
        </w:tc>
        <w:tc>
          <w:tcPr>
            <w:tcW w:w="717" w:type="dxa"/>
            <w:vAlign w:val="top"/>
          </w:tcPr>
          <w:p>
            <w:pPr>
              <w:spacing w:line="280" w:lineRule="exact"/>
              <w:rPr>
                <w:rFonts w:hint="eastAsia" w:cs="宋体" w:asciiTheme="minorEastAsia" w:hAnsiTheme="minorEastAsia" w:eastAsiaTheme="minorEastAsia"/>
                <w:sz w:val="21"/>
                <w:szCs w:val="21"/>
                <w:lang w:val="en-US" w:eastAsia="zh-CN"/>
              </w:rPr>
            </w:pPr>
          </w:p>
        </w:tc>
        <w:tc>
          <w:tcPr>
            <w:tcW w:w="12258" w:type="dxa"/>
            <w:vAlign w:val="center"/>
          </w:tcPr>
          <w:p>
            <w:pPr>
              <w:spacing w:line="280" w:lineRule="exact"/>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rPr>
              <w:t>目前公司经营过程中没有发生违反相关法律法规及其他要求的情况</w:t>
            </w:r>
          </w:p>
        </w:tc>
        <w:tc>
          <w:tcPr>
            <w:tcW w:w="730" w:type="dxa"/>
            <w:vAlign w:val="top"/>
          </w:tcPr>
          <w:p>
            <w:pPr>
              <w:spacing w:line="280" w:lineRule="exact"/>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1189" w:type="dxa"/>
            <w:vAlign w:val="top"/>
          </w:tcPr>
          <w:p>
            <w:pPr>
              <w:spacing w:line="280" w:lineRule="exact"/>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一阶</w:t>
            </w:r>
            <w:r>
              <w:rPr>
                <w:rFonts w:hint="eastAsia" w:cs="宋体" w:asciiTheme="minorEastAsia" w:hAnsiTheme="minorEastAsia" w:eastAsiaTheme="minorEastAsia"/>
                <w:sz w:val="21"/>
                <w:szCs w:val="21"/>
              </w:rPr>
              <w:t>问题的验证</w:t>
            </w:r>
          </w:p>
        </w:tc>
        <w:tc>
          <w:tcPr>
            <w:tcW w:w="717" w:type="dxa"/>
            <w:vAlign w:val="top"/>
          </w:tcPr>
          <w:p>
            <w:pPr>
              <w:spacing w:line="280" w:lineRule="exact"/>
              <w:rPr>
                <w:rFonts w:hint="eastAsia" w:cs="宋体" w:asciiTheme="minorEastAsia" w:hAnsiTheme="minorEastAsia" w:eastAsiaTheme="minorEastAsia"/>
                <w:sz w:val="21"/>
                <w:szCs w:val="21"/>
                <w:lang w:val="en-US" w:eastAsia="zh-CN"/>
              </w:rPr>
            </w:pPr>
          </w:p>
        </w:tc>
        <w:tc>
          <w:tcPr>
            <w:tcW w:w="12258" w:type="dxa"/>
            <w:vAlign w:val="center"/>
          </w:tcPr>
          <w:p>
            <w:pPr>
              <w:spacing w:line="280" w:lineRule="exact"/>
              <w:rPr>
                <w:rFonts w:hint="default"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有效整改，关闭</w:t>
            </w:r>
          </w:p>
        </w:tc>
        <w:tc>
          <w:tcPr>
            <w:tcW w:w="730" w:type="dxa"/>
            <w:vAlign w:val="top"/>
          </w:tcPr>
          <w:p>
            <w:pPr>
              <w:spacing w:line="280" w:lineRule="exact"/>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1189" w:type="dxa"/>
            <w:vAlign w:val="top"/>
          </w:tcPr>
          <w:p>
            <w:pPr>
              <w:spacing w:line="280" w:lineRule="exact"/>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rPr>
              <w:t>变更</w:t>
            </w:r>
          </w:p>
        </w:tc>
        <w:tc>
          <w:tcPr>
            <w:tcW w:w="717" w:type="dxa"/>
            <w:vAlign w:val="top"/>
          </w:tcPr>
          <w:p>
            <w:pPr>
              <w:spacing w:line="280" w:lineRule="exact"/>
              <w:rPr>
                <w:rFonts w:hint="eastAsia" w:cs="宋体" w:asciiTheme="minorEastAsia" w:hAnsiTheme="minorEastAsia" w:eastAsiaTheme="minorEastAsia"/>
                <w:sz w:val="21"/>
                <w:szCs w:val="21"/>
                <w:lang w:val="en-US" w:eastAsia="zh-CN"/>
              </w:rPr>
            </w:pPr>
          </w:p>
        </w:tc>
        <w:tc>
          <w:tcPr>
            <w:tcW w:w="12258" w:type="dxa"/>
            <w:vAlign w:val="center"/>
          </w:tcPr>
          <w:p>
            <w:pPr>
              <w:spacing w:line="280" w:lineRule="exact"/>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rPr>
              <w:t>无</w:t>
            </w:r>
            <w:r>
              <w:rPr>
                <w:rFonts w:hint="eastAsia" w:cs="宋体" w:asciiTheme="minorEastAsia" w:hAnsiTheme="minorEastAsia" w:eastAsiaTheme="minorEastAsia"/>
                <w:sz w:val="21"/>
                <w:szCs w:val="21"/>
                <w:lang w:val="en-US" w:eastAsia="zh-CN"/>
              </w:rPr>
              <w:t>重大变更</w:t>
            </w:r>
          </w:p>
        </w:tc>
        <w:tc>
          <w:tcPr>
            <w:tcW w:w="730" w:type="dxa"/>
            <w:vAlign w:val="top"/>
          </w:tcPr>
          <w:p>
            <w:pPr>
              <w:spacing w:line="280" w:lineRule="exact"/>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OK</w:t>
            </w:r>
          </w:p>
        </w:tc>
      </w:tr>
    </w:tbl>
    <w:p>
      <w:pPr>
        <w:spacing w:line="280" w:lineRule="exact"/>
      </w:pPr>
      <w:r>
        <w:rPr>
          <w:rFonts w:hint="eastAsia" w:cs="宋体" w:asciiTheme="minorEastAsia" w:hAnsiTheme="minorEastAsia" w:eastAsiaTheme="minorEastAsia"/>
          <w:sz w:val="21"/>
          <w:szCs w:val="21"/>
        </w:rPr>
        <w:tab/>
      </w:r>
    </w:p>
    <w:p>
      <w:pPr>
        <w:pStyle w:val="5"/>
      </w:pPr>
      <w:r>
        <w:rPr>
          <w:rFonts w:hint="eastAsia"/>
        </w:rPr>
        <w:t>说明：不符合标注N</w:t>
      </w: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6"/>
      <w:pBdr>
        <w:bottom w:val="none" w:color="auto" w:sz="0" w:space="0"/>
      </w:pBdr>
      <w:spacing w:line="320" w:lineRule="exact"/>
      <w:ind w:firstLine="756" w:firstLineChars="400"/>
      <w:jc w:val="left"/>
    </w:pPr>
    <w:r>
      <w:rPr>
        <w:rStyle w:val="12"/>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D141BBB"/>
    <w:multiLevelType w:val="multilevel"/>
    <w:tmpl w:val="2D141BBB"/>
    <w:lvl w:ilvl="0" w:tentative="0">
      <w:start w:val="1"/>
      <w:numFmt w:val="decimal"/>
      <w:lvlText w:val="%1)"/>
      <w:lvlJc w:val="left"/>
      <w:pPr>
        <w:ind w:left="840" w:hanging="420"/>
      </w:pPr>
      <w:rPr>
        <w:sz w:val="21"/>
        <w:szCs w:val="21"/>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6D9E098D"/>
    <w:multiLevelType w:val="multilevel"/>
    <w:tmpl w:val="6D9E098D"/>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000000"/>
    <w:rsid w:val="00A5775F"/>
    <w:rsid w:val="048B1024"/>
    <w:rsid w:val="05250BF7"/>
    <w:rsid w:val="05475291"/>
    <w:rsid w:val="05791EDF"/>
    <w:rsid w:val="05A351AD"/>
    <w:rsid w:val="06D33A7D"/>
    <w:rsid w:val="077E5935"/>
    <w:rsid w:val="082718CB"/>
    <w:rsid w:val="08330E16"/>
    <w:rsid w:val="0C745BF1"/>
    <w:rsid w:val="0E8151E4"/>
    <w:rsid w:val="108E33A2"/>
    <w:rsid w:val="13D02E0F"/>
    <w:rsid w:val="143A105E"/>
    <w:rsid w:val="1445219E"/>
    <w:rsid w:val="167636E8"/>
    <w:rsid w:val="16774218"/>
    <w:rsid w:val="17485BB5"/>
    <w:rsid w:val="19755D03"/>
    <w:rsid w:val="19CC0183"/>
    <w:rsid w:val="1A6C3EF9"/>
    <w:rsid w:val="1AD96F61"/>
    <w:rsid w:val="1BAD248A"/>
    <w:rsid w:val="1C5D5E58"/>
    <w:rsid w:val="1CB7031C"/>
    <w:rsid w:val="1E9D0E21"/>
    <w:rsid w:val="1F5849BC"/>
    <w:rsid w:val="26B2555E"/>
    <w:rsid w:val="29677800"/>
    <w:rsid w:val="2AE00186"/>
    <w:rsid w:val="2B1E6118"/>
    <w:rsid w:val="2BFA0DD4"/>
    <w:rsid w:val="30E81B43"/>
    <w:rsid w:val="32D473C7"/>
    <w:rsid w:val="34406FDB"/>
    <w:rsid w:val="364477FF"/>
    <w:rsid w:val="38570F6F"/>
    <w:rsid w:val="3F36451D"/>
    <w:rsid w:val="3F7B1DD4"/>
    <w:rsid w:val="409219B3"/>
    <w:rsid w:val="423D15C3"/>
    <w:rsid w:val="436E40ED"/>
    <w:rsid w:val="46F76332"/>
    <w:rsid w:val="473D38CE"/>
    <w:rsid w:val="47E318F1"/>
    <w:rsid w:val="4B60700A"/>
    <w:rsid w:val="4C1E675A"/>
    <w:rsid w:val="4CFA05DE"/>
    <w:rsid w:val="4DFE795D"/>
    <w:rsid w:val="4EC37C33"/>
    <w:rsid w:val="4F744081"/>
    <w:rsid w:val="51BB7CE4"/>
    <w:rsid w:val="58773F3E"/>
    <w:rsid w:val="5B8212E7"/>
    <w:rsid w:val="5DE74B8C"/>
    <w:rsid w:val="62196B81"/>
    <w:rsid w:val="62A50532"/>
    <w:rsid w:val="660312F7"/>
    <w:rsid w:val="663F4FB1"/>
    <w:rsid w:val="675F2410"/>
    <w:rsid w:val="694B2D27"/>
    <w:rsid w:val="69543EA8"/>
    <w:rsid w:val="69645F05"/>
    <w:rsid w:val="6F766BB9"/>
    <w:rsid w:val="72463203"/>
    <w:rsid w:val="744C0467"/>
    <w:rsid w:val="77364257"/>
    <w:rsid w:val="789C6099"/>
    <w:rsid w:val="7AEA338E"/>
    <w:rsid w:val="7E4D319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qFormat/>
    <w:uiPriority w:val="0"/>
    <w:rPr>
      <w:sz w:val="28"/>
    </w:rPr>
  </w:style>
  <w:style w:type="paragraph" w:styleId="4">
    <w:name w:val="Balloon Text"/>
    <w:basedOn w:val="1"/>
    <w:link w:val="11"/>
    <w:semiHidden/>
    <w:unhideWhenUsed/>
    <w:qFormat/>
    <w:uiPriority w:val="99"/>
    <w:rPr>
      <w:sz w:val="18"/>
      <w:szCs w:val="18"/>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qFormat/>
    <w:uiPriority w:val="99"/>
    <w:rPr>
      <w:rFonts w:ascii="Times New Roman" w:hAnsi="Times New Roman" w:eastAsia="宋体" w:cs="Times New Roman"/>
      <w:sz w:val="18"/>
      <w:szCs w:val="18"/>
    </w:rPr>
  </w:style>
  <w:style w:type="character" w:customStyle="1" w:styleId="10">
    <w:name w:val="页脚 Char"/>
    <w:basedOn w:val="8"/>
    <w:link w:val="5"/>
    <w:qFormat/>
    <w:uiPriority w:val="99"/>
    <w:rPr>
      <w:rFonts w:ascii="Times New Roman" w:hAnsi="Times New Roman" w:eastAsia="宋体" w:cs="Times New Roman"/>
      <w:sz w:val="18"/>
      <w:szCs w:val="18"/>
    </w:rPr>
  </w:style>
  <w:style w:type="character" w:customStyle="1" w:styleId="11">
    <w:name w:val="批注框文本 Char"/>
    <w:basedOn w:val="8"/>
    <w:link w:val="4"/>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paragraph" w:customStyle="1" w:styleId="1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styleId="1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2</TotalTime>
  <ScaleCrop>false</ScaleCrop>
  <LinksUpToDate>false</LinksUpToDate>
  <CharactersWithSpaces>101</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付正</cp:lastModifiedBy>
  <dcterms:modified xsi:type="dcterms:W3CDTF">2021-12-16T03:11:00Z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2052-11.1.0.11115</vt:lpwstr>
  </property>
</Properties>
</file>