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1274-2021-Q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青岛钢垚再生资源集团有限公司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2021年12月10日 下午至2021年12月10日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汪桂丽</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2021-N1QMS-6043149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刘思顺</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ISC-JSZJ-448</w:t>
            </w:r>
          </w:p>
          <w:p>
            <w:pPr>
              <w:spacing w:line="240" w:lineRule="exact"/>
              <w:jc w:val="center"/>
              <w:rPr>
                <w:b/>
                <w:color w:val="000000"/>
                <w:szCs w:val="21"/>
              </w:rPr>
            </w:pPr>
            <w:r>
              <w:rPr>
                <w:b/>
                <w:color w:val="000000"/>
                <w:szCs w:val="21"/>
              </w:rPr>
              <w:t>青岛昌佳机械有限公司</w:t>
            </w:r>
          </w:p>
        </w:tc>
        <w:tc>
          <w:tcPr>
            <w:tcW w:w="1140" w:type="dxa"/>
            <w:vAlign w:val="center"/>
          </w:tcPr>
          <w:p>
            <w:pPr>
              <w:spacing w:line="240" w:lineRule="exact"/>
              <w:jc w:val="center"/>
              <w:rPr>
                <w:b/>
                <w:color w:val="000000"/>
                <w:szCs w:val="21"/>
              </w:rPr>
            </w:pPr>
            <w:r>
              <w:rPr>
                <w:b/>
                <w:color w:val="000000"/>
                <w:szCs w:val="21"/>
              </w:rPr>
              <w:t>24.01.02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青岛钢垚再生资源集团有限公司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山东省青岛市黄岛区珠海街道办事处东新村村北</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266400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山东省青岛市黄岛区珠海街道办事处东新村村北</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266400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邢金辉</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18300222789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邢金杰</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邢金辉</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val="0"/>
                <w:bCs/>
                <w:color w:val="000000"/>
                <w:szCs w:val="21"/>
                <w:lang w:val="en-US" w:eastAsia="zh-CN"/>
              </w:rPr>
            </w:pPr>
            <w:r>
              <w:rPr>
                <w:rFonts w:hint="eastAsia" w:ascii="宋体" w:hAnsi="宋体"/>
                <w:b/>
                <w:color w:val="000000"/>
                <w:szCs w:val="21"/>
              </w:rPr>
              <w:t>产品：</w:t>
            </w:r>
            <w:r>
              <w:rPr>
                <w:rFonts w:hint="eastAsia" w:ascii="宋体" w:hAnsi="宋体"/>
                <w:b w:val="0"/>
                <w:bCs/>
                <w:color w:val="000000"/>
                <w:szCs w:val="21"/>
                <w:lang w:val="en-US" w:eastAsia="zh-CN"/>
              </w:rPr>
              <w:t>石子、细石、石粉</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5" w:name="审核范围"/>
            <w:r>
              <w:t>建筑废弃物资源化综合再利用</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4229100" cy="3038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229100" cy="30384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建筑废弃物资源化综合再利用</w:t>
            </w:r>
          </w:p>
        </w:tc>
        <w:tc>
          <w:tcPr>
            <w:tcW w:w="2006" w:type="dxa"/>
            <w:gridSpan w:val="3"/>
            <w:vAlign w:val="center"/>
          </w:tcPr>
          <w:p>
            <w:pPr>
              <w:spacing w:line="400" w:lineRule="exact"/>
              <w:rPr>
                <w:rFonts w:ascii="宋体" w:hAnsi="宋体"/>
                <w:b/>
                <w:color w:val="000000"/>
                <w:szCs w:val="21"/>
              </w:rPr>
            </w:pPr>
            <w:bookmarkStart w:id="36" w:name="专业代码"/>
            <w:r>
              <w:t>24.01.02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33"/>
        <w:gridCol w:w="113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3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3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ascii="Times New Roman" w:hAnsi="Times New Roman" w:eastAsia="Times New Roman" w:cs="Times New Roman"/>
                <w:kern w:val="2"/>
                <w:sz w:val="20"/>
                <w:szCs w:val="20"/>
                <w:lang w:val="en-GB" w:eastAsia="de-DE" w:bidi="ar-SA"/>
              </w:rPr>
            </w:pPr>
            <w:r>
              <w:rPr>
                <w:rFonts w:ascii="Times New Roman" w:hAnsi="Times New Roman" w:eastAsia="Times New Roman" w:cs="Times New Roman"/>
                <w:kern w:val="2"/>
                <w:sz w:val="20"/>
                <w:szCs w:val="20"/>
                <w:lang w:val="en-GB" w:eastAsia="de-DE" w:bidi="ar-SA"/>
              </w:rPr>
              <w:t>青岛钢垚再生资源集团有限公司</w:t>
            </w:r>
          </w:p>
          <w:p>
            <w:pPr>
              <w:spacing w:before="40" w:after="40"/>
              <w:rPr>
                <w:rFonts w:ascii="Times New Roman" w:hAnsi="Times New Roman" w:eastAsia="Times New Roman" w:cs="Times New Roman"/>
                <w:kern w:val="2"/>
                <w:sz w:val="20"/>
                <w:szCs w:val="20"/>
                <w:lang w:val="de-DE" w:eastAsia="ja-JP" w:bidi="ar-SA"/>
              </w:rPr>
            </w:pPr>
            <w:r>
              <w:rPr>
                <w:rFonts w:ascii="Times New Roman" w:hAnsi="Times New Roman" w:eastAsia="Times New Roman" w:cs="Times New Roman"/>
                <w:kern w:val="2"/>
                <w:sz w:val="20"/>
                <w:szCs w:val="20"/>
                <w:lang w:val="en-GB" w:eastAsia="de-DE" w:bidi="ar-SA"/>
              </w:rPr>
              <w:t>山东省青岛市黄岛区珠海街道办事处东新村村北</w:t>
            </w:r>
          </w:p>
        </w:tc>
        <w:tc>
          <w:tcPr>
            <w:tcW w:w="2267" w:type="dxa"/>
          </w:tcPr>
          <w:p>
            <w:pPr>
              <w:spacing w:before="40" w:after="40"/>
              <w:rPr>
                <w:rFonts w:ascii="Times New Roman" w:hAnsi="Times New Roman" w:eastAsia="Times New Roman" w:cs="Times New Roman"/>
                <w:kern w:val="2"/>
                <w:sz w:val="20"/>
                <w:szCs w:val="20"/>
                <w:lang w:val="de-DE" w:eastAsia="ja-JP" w:bidi="ar-SA"/>
              </w:rPr>
            </w:pPr>
            <w:r>
              <w:rPr>
                <w:rFonts w:ascii="Times New Roman" w:hAnsi="Times New Roman" w:eastAsia="Times New Roman" w:cs="Times New Roman"/>
                <w:kern w:val="2"/>
                <w:sz w:val="20"/>
                <w:szCs w:val="20"/>
                <w:lang w:val="en-GB" w:eastAsia="de-DE" w:bidi="ar-SA"/>
              </w:rPr>
              <w:t>山东省青岛市黄岛区珠海街道办事处东新村村北</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13</w:t>
            </w:r>
          </w:p>
        </w:tc>
        <w:tc>
          <w:tcPr>
            <w:tcW w:w="2333" w:type="dxa"/>
            <w:vAlign w:val="center"/>
          </w:tcPr>
          <w:p>
            <w:pPr>
              <w:pStyle w:val="19"/>
              <w:rPr>
                <w:rFonts w:eastAsia="黑体" w:cs="Arial"/>
                <w:sz w:val="21"/>
                <w:szCs w:val="21"/>
                <w:lang w:val="en-US" w:eastAsia="ja-JP"/>
              </w:rPr>
            </w:pPr>
            <w:r>
              <w:t>建筑废弃物资源化综合再利用</w:t>
            </w:r>
          </w:p>
        </w:tc>
        <w:tc>
          <w:tcPr>
            <w:tcW w:w="113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33" w:type="dxa"/>
            <w:vAlign w:val="center"/>
          </w:tcPr>
          <w:p>
            <w:pPr>
              <w:spacing w:before="40" w:after="40"/>
              <w:rPr>
                <w:rFonts w:eastAsia="黑体"/>
                <w:szCs w:val="21"/>
                <w:lang w:eastAsia="ja-JP"/>
              </w:rPr>
            </w:pPr>
          </w:p>
        </w:tc>
        <w:tc>
          <w:tcPr>
            <w:tcW w:w="113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33" w:type="dxa"/>
            <w:vAlign w:val="center"/>
          </w:tcPr>
          <w:p>
            <w:pPr>
              <w:spacing w:before="40" w:after="40"/>
              <w:rPr>
                <w:rFonts w:eastAsia="黑体"/>
                <w:szCs w:val="21"/>
                <w:lang w:eastAsia="ja-JP"/>
              </w:rPr>
            </w:pPr>
          </w:p>
        </w:tc>
        <w:tc>
          <w:tcPr>
            <w:tcW w:w="113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33" w:type="dxa"/>
            <w:vAlign w:val="center"/>
          </w:tcPr>
          <w:p>
            <w:pPr>
              <w:spacing w:before="40" w:after="40"/>
              <w:rPr>
                <w:rFonts w:eastAsia="黑体"/>
                <w:szCs w:val="21"/>
                <w:lang w:eastAsia="ja-JP"/>
              </w:rPr>
            </w:pPr>
          </w:p>
        </w:tc>
        <w:tc>
          <w:tcPr>
            <w:tcW w:w="113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33" w:type="dxa"/>
            <w:vAlign w:val="center"/>
          </w:tcPr>
          <w:p>
            <w:pPr>
              <w:spacing w:before="40" w:after="40"/>
              <w:rPr>
                <w:rFonts w:eastAsia="黑体"/>
                <w:szCs w:val="21"/>
                <w:lang w:eastAsia="ja-JP"/>
              </w:rPr>
            </w:pPr>
          </w:p>
        </w:tc>
        <w:tc>
          <w:tcPr>
            <w:tcW w:w="113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 w:val="32"/>
                <w:szCs w:val="32"/>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b/>
                <w:color w:val="000000"/>
                <w:sz w:val="21"/>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b/>
                <w:color w:val="000000"/>
                <w:sz w:val="21"/>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2"/>
                <w:szCs w:val="32"/>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2021年11月1日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不存在需要确认过程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不存在外包</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□否</w:t>
            </w:r>
            <w:r>
              <w:rPr>
                <w:rFonts w:hint="eastAsia" w:ascii="宋体" w:hAnsi="宋体"/>
                <w:color w:val="000000"/>
                <w:szCs w:val="21"/>
                <w:lang w:val="en-US"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b/>
                <w:color w:val="000000"/>
                <w:szCs w:val="21"/>
                <w:lang w:val="de-DE"/>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Cs w:val="21"/>
                <w:lang w:val="de-DE"/>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Cs w:val="21"/>
                <w:lang w:val="de-DE"/>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de-DE"/>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2021-12-</w:t>
            </w:r>
            <w:bookmarkEnd w:id="37"/>
            <w:r>
              <w:rPr>
                <w:rFonts w:hint="eastAsia" w:ascii="宋体"/>
                <w:b/>
                <w:color w:val="000000"/>
                <w:szCs w:val="21"/>
                <w:lang w:val="en-US" w:eastAsia="zh-CN"/>
              </w:rPr>
              <w:t>11下午至12日</w:t>
            </w:r>
          </w:p>
        </w:tc>
      </w:tr>
    </w:tbl>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建筑废弃物资源化综合利用</w:t>
            </w:r>
          </w:p>
        </w:tc>
        <w:tc>
          <w:tcPr>
            <w:tcW w:w="1541" w:type="dxa"/>
            <w:vAlign w:val="center"/>
          </w:tcPr>
          <w:p>
            <w:pPr>
              <w:spacing w:line="400" w:lineRule="exact"/>
              <w:rPr>
                <w:rFonts w:ascii="宋体" w:hAnsi="宋体"/>
                <w:b/>
                <w:color w:val="000000"/>
                <w:szCs w:val="21"/>
              </w:rPr>
            </w:pPr>
            <w:r>
              <w:rPr>
                <w:sz w:val="21"/>
                <w:szCs w:val="21"/>
              </w:rPr>
              <w:t>24.01.02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drawing>
          <wp:anchor distT="0" distB="0" distL="114300" distR="114300" simplePos="0" relativeHeight="251661312" behindDoc="0" locked="0" layoutInCell="1" allowOverlap="1">
            <wp:simplePos x="0" y="0"/>
            <wp:positionH relativeFrom="column">
              <wp:posOffset>-29210</wp:posOffset>
            </wp:positionH>
            <wp:positionV relativeFrom="paragraph">
              <wp:posOffset>74930</wp:posOffset>
            </wp:positionV>
            <wp:extent cx="6339840" cy="6821805"/>
            <wp:effectExtent l="0" t="0" r="3810" b="171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339840" cy="682180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bookmarkStart w:id="38" w:name="_GoBack"/>
      <w:r>
        <w:drawing>
          <wp:anchor distT="0" distB="0" distL="114300" distR="114300" simplePos="0" relativeHeight="251662336" behindDoc="0" locked="0" layoutInCell="1" allowOverlap="1">
            <wp:simplePos x="0" y="0"/>
            <wp:positionH relativeFrom="column">
              <wp:posOffset>-238760</wp:posOffset>
            </wp:positionH>
            <wp:positionV relativeFrom="paragraph">
              <wp:posOffset>0</wp:posOffset>
            </wp:positionV>
            <wp:extent cx="6819265" cy="8229600"/>
            <wp:effectExtent l="0" t="0" r="635"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6819265" cy="8229600"/>
                    </a:xfrm>
                    <a:prstGeom prst="rect">
                      <a:avLst/>
                    </a:prstGeom>
                    <a:noFill/>
                    <a:ln>
                      <a:noFill/>
                    </a:ln>
                  </pic:spPr>
                </pic:pic>
              </a:graphicData>
            </a:graphic>
          </wp:anchor>
        </w:drawing>
      </w:r>
      <w:bookmarkEnd w:id="38"/>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823"/>
        <w:gridCol w:w="2325"/>
        <w:gridCol w:w="1395"/>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61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25"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95"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849"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1</w:t>
            </w:r>
          </w:p>
        </w:tc>
        <w:tc>
          <w:tcPr>
            <w:tcW w:w="4611"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外来文件清单中，普通混凝土用砂、石质量及检验方法标准年号有误</w:t>
            </w:r>
          </w:p>
        </w:tc>
        <w:tc>
          <w:tcPr>
            <w:tcW w:w="2325"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ascii="宋体" w:hAnsi="宋体" w:cs="Arial"/>
                <w:sz w:val="21"/>
                <w:szCs w:val="21"/>
                <w:lang w:val="en-US" w:eastAsia="zh-CN"/>
              </w:rPr>
              <w:t>GB/T19001-2016</w:t>
            </w:r>
          </w:p>
        </w:tc>
        <w:tc>
          <w:tcPr>
            <w:tcW w:w="1395" w:type="dxa"/>
            <w:vAlign w:val="center"/>
          </w:tcPr>
          <w:p>
            <w:pPr>
              <w:pStyle w:val="6"/>
              <w:pBdr>
                <w:bottom w:val="none" w:color="auto" w:sz="0" w:space="0"/>
              </w:pBdr>
              <w:ind w:right="600" w:rightChars="0"/>
              <w:jc w:val="left"/>
              <w:rPr>
                <w:rFonts w:hint="default" w:ascii="Calibri" w:hAnsi="Calibri" w:eastAsia="宋体" w:cs="Times New Roman"/>
                <w:color w:val="000000"/>
                <w:kern w:val="2"/>
                <w:sz w:val="21"/>
                <w:szCs w:val="21"/>
                <w:lang w:val="en-US" w:eastAsia="zh-CN" w:bidi="ar-SA"/>
              </w:rPr>
            </w:pPr>
            <w:r>
              <w:rPr>
                <w:rFonts w:hint="eastAsia" w:ascii="宋体" w:hAnsi="宋体" w:cs="Arial"/>
                <w:sz w:val="21"/>
                <w:szCs w:val="21"/>
              </w:rPr>
              <w:t>7.5</w:t>
            </w:r>
            <w:r>
              <w:rPr>
                <w:rFonts w:hint="eastAsia" w:ascii="宋体" w:hAnsi="宋体" w:cs="Arial"/>
                <w:sz w:val="21"/>
                <w:szCs w:val="21"/>
                <w:lang w:val="en-US" w:eastAsia="zh-CN"/>
              </w:rPr>
              <w:t>.3</w:t>
            </w:r>
          </w:p>
        </w:tc>
        <w:tc>
          <w:tcPr>
            <w:tcW w:w="849"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61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25" w:type="dxa"/>
            <w:vAlign w:val="center"/>
          </w:tcPr>
          <w:p>
            <w:pPr>
              <w:pStyle w:val="6"/>
              <w:pBdr>
                <w:bottom w:val="none" w:color="auto" w:sz="0" w:space="0"/>
              </w:pBdr>
              <w:ind w:right="600"/>
              <w:jc w:val="both"/>
              <w:rPr>
                <w:color w:val="000000"/>
                <w:sz w:val="21"/>
                <w:szCs w:val="21"/>
              </w:rPr>
            </w:pPr>
          </w:p>
        </w:tc>
        <w:tc>
          <w:tcPr>
            <w:tcW w:w="1395" w:type="dxa"/>
            <w:vAlign w:val="center"/>
          </w:tcPr>
          <w:p>
            <w:pPr>
              <w:pStyle w:val="6"/>
              <w:pBdr>
                <w:bottom w:val="none" w:color="auto" w:sz="0" w:space="0"/>
              </w:pBdr>
              <w:ind w:right="600"/>
              <w:jc w:val="both"/>
              <w:rPr>
                <w:color w:val="000000"/>
                <w:sz w:val="21"/>
                <w:szCs w:val="21"/>
              </w:rPr>
            </w:pPr>
          </w:p>
        </w:tc>
        <w:tc>
          <w:tcPr>
            <w:tcW w:w="849"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61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25" w:type="dxa"/>
            <w:vAlign w:val="center"/>
          </w:tcPr>
          <w:p>
            <w:pPr>
              <w:pStyle w:val="6"/>
              <w:pBdr>
                <w:bottom w:val="none" w:color="auto" w:sz="0" w:space="0"/>
              </w:pBdr>
              <w:ind w:right="600"/>
              <w:jc w:val="both"/>
              <w:rPr>
                <w:color w:val="000000"/>
                <w:sz w:val="21"/>
                <w:szCs w:val="21"/>
              </w:rPr>
            </w:pPr>
          </w:p>
        </w:tc>
        <w:tc>
          <w:tcPr>
            <w:tcW w:w="1395" w:type="dxa"/>
            <w:vAlign w:val="center"/>
          </w:tcPr>
          <w:p>
            <w:pPr>
              <w:pStyle w:val="6"/>
              <w:pBdr>
                <w:bottom w:val="none" w:color="auto" w:sz="0" w:space="0"/>
              </w:pBdr>
              <w:ind w:right="600"/>
              <w:jc w:val="both"/>
              <w:rPr>
                <w:color w:val="000000"/>
                <w:sz w:val="21"/>
                <w:szCs w:val="21"/>
              </w:rPr>
            </w:pPr>
          </w:p>
        </w:tc>
        <w:tc>
          <w:tcPr>
            <w:tcW w:w="849"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61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25" w:type="dxa"/>
            <w:vAlign w:val="center"/>
          </w:tcPr>
          <w:p>
            <w:pPr>
              <w:pStyle w:val="6"/>
              <w:pBdr>
                <w:bottom w:val="none" w:color="auto" w:sz="0" w:space="0"/>
              </w:pBdr>
              <w:ind w:right="600"/>
              <w:jc w:val="both"/>
              <w:rPr>
                <w:color w:val="000000"/>
                <w:sz w:val="21"/>
                <w:szCs w:val="21"/>
              </w:rPr>
            </w:pPr>
          </w:p>
        </w:tc>
        <w:tc>
          <w:tcPr>
            <w:tcW w:w="1395" w:type="dxa"/>
            <w:vAlign w:val="center"/>
          </w:tcPr>
          <w:p>
            <w:pPr>
              <w:pStyle w:val="6"/>
              <w:pBdr>
                <w:bottom w:val="none" w:color="auto" w:sz="0" w:space="0"/>
              </w:pBdr>
              <w:ind w:right="600"/>
              <w:jc w:val="both"/>
              <w:rPr>
                <w:color w:val="000000"/>
                <w:sz w:val="21"/>
                <w:szCs w:val="21"/>
              </w:rPr>
            </w:pPr>
          </w:p>
        </w:tc>
        <w:tc>
          <w:tcPr>
            <w:tcW w:w="849"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61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25" w:type="dxa"/>
            <w:vAlign w:val="center"/>
          </w:tcPr>
          <w:p>
            <w:pPr>
              <w:pStyle w:val="6"/>
              <w:pBdr>
                <w:bottom w:val="none" w:color="auto" w:sz="0" w:space="0"/>
              </w:pBdr>
              <w:ind w:right="600"/>
              <w:jc w:val="both"/>
              <w:rPr>
                <w:color w:val="000000"/>
                <w:sz w:val="21"/>
                <w:szCs w:val="21"/>
              </w:rPr>
            </w:pPr>
          </w:p>
        </w:tc>
        <w:tc>
          <w:tcPr>
            <w:tcW w:w="1395" w:type="dxa"/>
            <w:vAlign w:val="center"/>
          </w:tcPr>
          <w:p>
            <w:pPr>
              <w:pStyle w:val="6"/>
              <w:pBdr>
                <w:bottom w:val="none" w:color="auto" w:sz="0" w:space="0"/>
              </w:pBdr>
              <w:ind w:right="600"/>
              <w:jc w:val="both"/>
              <w:rPr>
                <w:color w:val="000000"/>
                <w:sz w:val="21"/>
                <w:szCs w:val="21"/>
              </w:rPr>
            </w:pPr>
          </w:p>
        </w:tc>
        <w:tc>
          <w:tcPr>
            <w:tcW w:w="849"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7797575"/>
    <w:rsid w:val="18CB084B"/>
    <w:rsid w:val="265A34EA"/>
    <w:rsid w:val="29A4511B"/>
    <w:rsid w:val="31E9059E"/>
    <w:rsid w:val="36DC1206"/>
    <w:rsid w:val="424773E6"/>
    <w:rsid w:val="42A40152"/>
    <w:rsid w:val="4EC319B6"/>
    <w:rsid w:val="5FE3630D"/>
    <w:rsid w:val="65C7480A"/>
    <w:rsid w:val="7C1733E2"/>
    <w:rsid w:val="7E796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11</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付正</cp:lastModifiedBy>
  <dcterms:modified xsi:type="dcterms:W3CDTF">2021-12-16T13:02:36Z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