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2533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青岛钢垚再生资源集团有限公司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24.01.02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刘思顺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24.01.02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汪桂丽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3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94615</wp:posOffset>
                  </wp:positionV>
                  <wp:extent cx="4229100" cy="1315720"/>
                  <wp:effectExtent l="0" t="0" r="0" b="1778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0" cy="131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6"/>
            <w:vAlign w:val="center"/>
          </w:tcPr>
          <w:tbl>
            <w:tblPr>
              <w:tblStyle w:val="6"/>
              <w:tblpPr w:leftFromText="180" w:rightFromText="180" w:vertAnchor="text" w:horzAnchor="page" w:tblpX="209" w:tblpY="316"/>
              <w:tblOverlap w:val="never"/>
              <w:tblW w:w="703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9"/>
              <w:gridCol w:w="942"/>
              <w:gridCol w:w="512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产品/服务名称</w:t>
                  </w:r>
                </w:p>
              </w:tc>
              <w:tc>
                <w:tcPr>
                  <w:tcW w:w="9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关键过程</w:t>
                  </w:r>
                </w:p>
              </w:tc>
              <w:tc>
                <w:tcPr>
                  <w:tcW w:w="51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控制内容（如尺寸、压力等）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2" w:hRule="atLeast"/>
              </w:trPr>
              <w:tc>
                <w:tcPr>
                  <w:tcW w:w="96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建筑废弃物资源化综合利用</w:t>
                  </w:r>
                </w:p>
              </w:tc>
              <w:tc>
                <w:tcPr>
                  <w:tcW w:w="9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破碎</w:t>
                  </w:r>
                </w:p>
              </w:tc>
              <w:tc>
                <w:tcPr>
                  <w:tcW w:w="51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1）破碎机运转正常后才能投料，全部物料排出后才允许停机。 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2）加负荷运转8小时，轴承温升不大于 40℃°。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3）各运行部位状况正常，满足无负和有负荷运转要求。 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4）加料要求均匀，避免物料在破碎腔单边破载。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9" w:hRule="atLeast"/>
              </w:trPr>
              <w:tc>
                <w:tcPr>
                  <w:tcW w:w="96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筛分</w:t>
                  </w:r>
                </w:p>
              </w:tc>
              <w:tc>
                <w:tcPr>
                  <w:tcW w:w="51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both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1）向筛网上给料必须均匀、连续，否则影响筛分效果；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both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2）随时查看轴承温度，一般温升不应超过70C；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both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3）筛架两侧弹簧弹性应同步，否则将因筛架振动不均使筛分效率降低；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both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4）按客户要求及产品质量标准要求使用合适规格筛网。</w:t>
                  </w:r>
                </w:p>
              </w:tc>
            </w:tr>
          </w:tbl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</w:t>
            </w:r>
          </w:p>
          <w:p>
            <w:pPr>
              <w:pStyle w:val="2"/>
              <w:ind w:firstLine="440" w:firstLineChars="200"/>
              <w:rPr>
                <w:rFonts w:hint="eastAsia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不存在需要确认过程；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 xml:space="preserve">   风险：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工艺控制不到位，设备和工装故障，检测设备不准确，测量结果失效，产品质量不稳定</w:t>
            </w:r>
            <w:r>
              <w:rPr>
                <w:rFonts w:hint="eastAsia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不合格交期延误；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360" w:firstLineChars="200"/>
              <w:textAlignment w:val="auto"/>
              <w:rPr>
                <w:b/>
                <w:sz w:val="20"/>
              </w:rPr>
            </w:pPr>
            <w:r>
              <w:rPr>
                <w:rFonts w:hint="eastAsia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控制措施：从供方、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过程</w:t>
            </w:r>
            <w:r>
              <w:rPr>
                <w:rFonts w:hint="eastAsia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及交付严格控制，对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产品进行抽样检验</w:t>
            </w:r>
            <w:r>
              <w:rPr>
                <w:rFonts w:hint="eastAsia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，确保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产品质量稳定性，提高产品竞争力，开拓新市场</w:t>
            </w:r>
            <w:r>
              <w:rPr>
                <w:rFonts w:hint="eastAsia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主要能源使用和主要能源参数等；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再生资源回收管理条例、再生资源回收管理办法、清洁生产促进法、循环经济促进法、固体废物污染环境防治法、一般工业固体废物贮存、处置场污染控制标准、质量法、计量法等 </w:t>
            </w:r>
          </w:p>
          <w:p>
            <w:pPr>
              <w:pStyle w:val="2"/>
              <w:rPr>
                <w:b/>
                <w:sz w:val="20"/>
              </w:rPr>
            </w:pPr>
            <w:r>
              <w:rPr>
                <w:rFonts w:hint="eastAsia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产品执行标准：</w:t>
            </w: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af-ZA" w:eastAsia="zh-TW"/>
              </w:rPr>
              <w:t>普通混凝土用砂、石质量及检验方法标准JGJ52-20</w:t>
            </w: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  <w:t>06和客户要求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pStyle w:val="2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  <w:t>按</w:t>
            </w: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af-ZA" w:eastAsia="zh-TW"/>
              </w:rPr>
              <w:t>普通混凝土用砂、石质量及检验方法标准JGJ52-20</w:t>
            </w: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  <w:t>06和客户要求执行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bookmarkStart w:id="10" w:name="_GoBack"/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-287655</wp:posOffset>
                  </wp:positionV>
                  <wp:extent cx="6800215" cy="8133715"/>
                  <wp:effectExtent l="0" t="0" r="635" b="63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215" cy="813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0"/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汪桂丽</w:t>
            </w:r>
            <w:bookmarkEnd w:id="9"/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3C41250"/>
    <w:rsid w:val="2C4917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付正</cp:lastModifiedBy>
  <dcterms:modified xsi:type="dcterms:W3CDTF">2021-12-16T13:05:17Z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