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松江机电集团有限公司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周一鑫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jc w:val="left"/>
              <w:rPr>
                <w:rFonts w:hint="eastAsia" w:ascii="方正仿宋简体" w:eastAsia="宋体"/>
                <w:b/>
                <w:color w:val="000000" w:themeColor="text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查应急设备管理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在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办公场所配置有灭火器，查看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有两个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灭火器已失效，不符合标准GB/T24001-2016的8.2a)通过策划的措施做好响应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紧急情况的准备，以预防或减轻它所带来的不利环境影响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；不符合标准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GB/T 45001-2020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8.2a)针对紧急情况建立所策划的响应，包括提供急救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:highlight w:val="none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O 14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highlight w:val="none"/>
              </w:rPr>
              <w:t xml:space="preserve">001:2015标准 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highlight w:val="none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highlight w:val="none"/>
              </w:rPr>
              <w:t>■</w:t>
            </w:r>
            <w:bookmarkEnd w:id="15"/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highlight w:val="none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highlight w:val="none"/>
              </w:rPr>
              <w:t xml:space="preserve"> 条款相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关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773DD"/>
    <w:rsid w:val="0E693955"/>
    <w:rsid w:val="15634C82"/>
    <w:rsid w:val="4E982F14"/>
    <w:rsid w:val="769C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2021-12-14T01:57:57Z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