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97"/>
        <w:gridCol w:w="1667"/>
        <w:gridCol w:w="86"/>
        <w:gridCol w:w="1004"/>
        <w:gridCol w:w="934"/>
        <w:gridCol w:w="762"/>
        <w:gridCol w:w="256"/>
        <w:gridCol w:w="294"/>
        <w:gridCol w:w="680"/>
        <w:gridCol w:w="22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重庆碟霸机械科技有限公司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重庆市九龙坡区白市驿镇三多桥村8社15号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重庆市九龙坡区白市驿镇三多桥村8社15号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代玲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15223431898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0507-2019-Q-2021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三轮摩托车制动系统总成的生产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22.05.01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tcBorders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2021年12月15日 上午至</w:t>
            </w:r>
            <w:bookmarkStart w:id="32" w:name="_GoBack"/>
            <w:r>
              <w:rPr>
                <w:rFonts w:hint="eastAsia"/>
                <w:b/>
                <w:sz w:val="20"/>
              </w:rPr>
              <w:t>2021年12月15日</w:t>
            </w:r>
            <w:bookmarkEnd w:id="32"/>
            <w:r>
              <w:rPr>
                <w:rFonts w:hint="eastAsia"/>
                <w:b/>
                <w:sz w:val="20"/>
              </w:rPr>
              <w:t xml:space="preserve">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22.05.01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vAlign w:val="center"/>
          </w:tcPr>
          <w:p/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57" w:type="dxa"/>
            <w:gridSpan w:val="4"/>
            <w:vAlign w:val="center"/>
          </w:tcPr>
          <w:p/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221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2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page" w:tblpX="798" w:tblpY="396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>
            <w:pPr>
              <w:jc w:val="both"/>
              <w:rPr>
                <w:rFonts w:hint="eastAsia" w:ascii="宋体" w:hAnsi="宋体"/>
                <w:color w:val="000000" w:themeColor="text1"/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9：00-10:30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7.1.1资源 总则；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9.1.1监测、分析和评价总则；9.3管理评审；10.1改进 总则；10.2不合格和纠正措施10.3持续改进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上次不符合验证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8.5.2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10:30-11:30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7.1.2人员； 7.1.3基础设施；7.1.4过程运行环境；7.1.6组织知识；7.2能力；7.3意识；7.4沟通；7.5文件化信息；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/>
                <w:color w:val="000000" w:themeColor="text1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11:30-12:30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 8.2产品和服务的要求；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cs="宋体"/>
                <w:szCs w:val="21"/>
              </w:rPr>
              <w:t>外部提供的 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8.5.3顾客或外部供方的财产；8.5.5交付后的活动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12:30-13:30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13:30-15:30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 8.5.1生产和服务提供的控制；8.5.2标识和可追溯性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上次不符合验证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；8.5.4防护8.5.6更改控制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技质部：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.3组织的角色、职责和权限；6.2质量目标及其实现的策划；7.1.5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561D57"/>
    <w:rsid w:val="550D5521"/>
    <w:rsid w:val="7A507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20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2021-12-11T12:26:24Z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