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1299-2021-QEO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雅安市嘉玉农业有限公司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雅安市嘉玉农业有限公司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四川省雅安市雨城区上里镇建新村11组43号</w:t>
            </w:r>
            <w:bookmarkEnd w:id="6"/>
          </w:p>
        </w:tc>
        <w:tc>
          <w:tcPr>
            <w:tcW w:w="1242" w:type="dxa"/>
            <w:vMerge w:val="restart"/>
            <w:vAlign w:val="center"/>
          </w:tcPr>
          <w:p>
            <w:r>
              <w:rPr>
                <w:rFonts w:hint="eastAsia"/>
              </w:rPr>
              <w:t>邮编</w:t>
            </w:r>
          </w:p>
        </w:tc>
        <w:tc>
          <w:tcPr>
            <w:tcW w:w="1771" w:type="dxa"/>
          </w:tcPr>
          <w:p>
            <w:bookmarkStart w:id="7" w:name="注册邮编"/>
            <w:r>
              <w:t>625000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经营地址：四川省雅安市雨城区上里镇建新村11组43号/种植地址：四川省雅安市雨城区上里镇建新村8组</w:t>
            </w:r>
            <w:bookmarkEnd w:id="8"/>
          </w:p>
        </w:tc>
        <w:tc>
          <w:tcPr>
            <w:tcW w:w="1242" w:type="dxa"/>
            <w:vMerge w:val="continue"/>
            <w:vAlign w:val="center"/>
          </w:tcPr>
          <w:p/>
        </w:tc>
        <w:tc>
          <w:tcPr>
            <w:tcW w:w="1771" w:type="dxa"/>
          </w:tcPr>
          <w:p>
            <w:bookmarkStart w:id="9" w:name="办公邮编"/>
            <w:r>
              <w:t>625000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胥光金</w:t>
            </w:r>
            <w:bookmarkEnd w:id="10"/>
          </w:p>
        </w:tc>
        <w:tc>
          <w:tcPr>
            <w:tcW w:w="1313" w:type="dxa"/>
            <w:vAlign w:val="center"/>
          </w:tcPr>
          <w:p>
            <w:r>
              <w:rPr>
                <w:rFonts w:hint="eastAsia"/>
              </w:rPr>
              <w:t>电话.</w:t>
            </w:r>
          </w:p>
        </w:tc>
        <w:tc>
          <w:tcPr>
            <w:tcW w:w="2180" w:type="dxa"/>
            <w:vAlign w:val="center"/>
          </w:tcPr>
          <w:p>
            <w:bookmarkStart w:id="11" w:name="联系人电话"/>
            <w:r>
              <w:t>13568121188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胥光金</w:t>
            </w:r>
            <w:bookmarkEnd w:id="13"/>
          </w:p>
        </w:tc>
        <w:tc>
          <w:tcPr>
            <w:tcW w:w="1313" w:type="dxa"/>
            <w:vAlign w:val="center"/>
          </w:tcPr>
          <w:p>
            <w:r>
              <w:rPr>
                <w:rFonts w:hint="eastAsia"/>
              </w:rPr>
              <w:t>管理者代表</w:t>
            </w:r>
          </w:p>
        </w:tc>
        <w:tc>
          <w:tcPr>
            <w:tcW w:w="2180" w:type="dxa"/>
          </w:tcPr>
          <w:p>
            <w:bookmarkStart w:id="14" w:name="管理者代表"/>
            <w:r>
              <w:t>程叔萍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土地整理</w:t>
            </w:r>
            <w:r>
              <w:rPr>
                <w:rFonts w:hint="eastAsia"/>
                <w:lang w:eastAsia="zh-CN"/>
              </w:rPr>
              <w:t>→</w:t>
            </w:r>
            <w:r>
              <w:rPr>
                <w:rFonts w:hint="eastAsia"/>
              </w:rPr>
              <w:t>栽幼苗</w:t>
            </w:r>
            <w:r>
              <w:rPr>
                <w:rFonts w:hint="eastAsia"/>
                <w:lang w:eastAsia="zh-CN"/>
              </w:rPr>
              <w:t>→</w:t>
            </w:r>
            <w:r>
              <w:rPr>
                <w:rFonts w:hint="eastAsia"/>
              </w:rPr>
              <w:t>管理（施肥</w:t>
            </w:r>
            <w:r>
              <w:rPr>
                <w:rFonts w:hint="eastAsia"/>
                <w:lang w:eastAsia="zh-CN"/>
              </w:rPr>
              <w:t>、</w:t>
            </w:r>
            <w:r>
              <w:rPr>
                <w:rFonts w:hint="eastAsia"/>
              </w:rPr>
              <w:t>浇水</w:t>
            </w:r>
            <w:r>
              <w:rPr>
                <w:rFonts w:hint="eastAsia"/>
                <w:lang w:eastAsia="zh-CN"/>
              </w:rPr>
              <w:t>、</w:t>
            </w:r>
            <w:r>
              <w:rPr>
                <w:rFonts w:hint="eastAsia"/>
              </w:rPr>
              <w:t>除草</w:t>
            </w:r>
            <w:r>
              <w:rPr>
                <w:rFonts w:hint="eastAsia"/>
                <w:lang w:eastAsia="zh-CN"/>
              </w:rPr>
              <w:t>、疏枝、修剪、</w:t>
            </w:r>
            <w:r>
              <w:rPr>
                <w:rFonts w:hint="eastAsia"/>
              </w:rPr>
              <w:t>病虫害防治）</w:t>
            </w:r>
            <w:r>
              <w:rPr>
                <w:rFonts w:hint="eastAsia"/>
                <w:lang w:eastAsia="zh-CN"/>
              </w:rPr>
              <w:t>→检验→挖掘包装→交付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2021年12月21日 上午至2021年12月22日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Q：资质许可范围内造林苗木、经济林苗木、城镇绿化苗木的种植及销售</w:t>
            </w:r>
          </w:p>
          <w:p>
            <w:r>
              <w:t>E：资质许可范围内造林苗木、经济林苗木、城镇绿化苗木的种植及销售所涉及场所的相关环境管理活动</w:t>
            </w:r>
          </w:p>
          <w:p>
            <w:r>
              <w:t>O：资质许可范围内造林苗木、经济林苗木、城镇绿化苗木的种植及销售所涉及场所的相关职业健康安全管理活动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Q：01.03.00</w:t>
            </w:r>
          </w:p>
          <w:p>
            <w:r>
              <w:t>E：01.03.00</w:t>
            </w:r>
          </w:p>
          <w:p>
            <w:r>
              <w:t>O：01.03.00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2021年9月13日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85"/>
        <w:gridCol w:w="1305"/>
        <w:gridCol w:w="345"/>
        <w:gridCol w:w="3600"/>
        <w:gridCol w:w="18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21" w:type="dxa"/>
            <w:shd w:val="clear" w:color="auto" w:fill="F3F3F3"/>
            <w:tcMar>
              <w:left w:w="57" w:type="dxa"/>
              <w:right w:w="57" w:type="dxa"/>
            </w:tcMar>
          </w:tcPr>
          <w:p>
            <w:r>
              <w:rPr>
                <w:rFonts w:hint="eastAsia"/>
              </w:rPr>
              <w:t>场所编号</w:t>
            </w:r>
          </w:p>
          <w:p>
            <w:r>
              <w:rPr>
                <w:rFonts w:hint="eastAsia"/>
              </w:rPr>
              <w:t>(分证书序号）</w:t>
            </w:r>
          </w:p>
        </w:tc>
        <w:tc>
          <w:tcPr>
            <w:tcW w:w="1485" w:type="dxa"/>
            <w:shd w:val="clear" w:color="auto" w:fill="F3F3F3"/>
            <w:tcMar>
              <w:left w:w="57" w:type="dxa"/>
              <w:right w:w="57" w:type="dxa"/>
            </w:tcMar>
          </w:tcPr>
          <w:p>
            <w:r>
              <w:rPr>
                <w:rFonts w:hint="eastAsia"/>
              </w:rPr>
              <w:t>组织名称及注册场所地址</w:t>
            </w:r>
          </w:p>
        </w:tc>
        <w:tc>
          <w:tcPr>
            <w:tcW w:w="1305" w:type="dxa"/>
            <w:shd w:val="clear" w:color="auto" w:fill="F3F3F3"/>
            <w:tcMar>
              <w:left w:w="57" w:type="dxa"/>
              <w:right w:w="57" w:type="dxa"/>
            </w:tcMar>
          </w:tcPr>
          <w:p>
            <w:r>
              <w:rPr>
                <w:rFonts w:hint="eastAsia"/>
              </w:rPr>
              <w:t>经营场所的地址</w:t>
            </w:r>
          </w:p>
          <w:p>
            <w:r>
              <w:rPr>
                <w:rFonts w:hint="eastAsia"/>
              </w:rPr>
              <w:t>（多现场和临时现场）</w:t>
            </w:r>
          </w:p>
        </w:tc>
        <w:tc>
          <w:tcPr>
            <w:tcW w:w="345" w:type="dxa"/>
            <w:shd w:val="clear" w:color="auto" w:fill="F3F3F3"/>
            <w:tcMar>
              <w:left w:w="57" w:type="dxa"/>
              <w:right w:w="57" w:type="dxa"/>
            </w:tcMar>
          </w:tcPr>
          <w:p>
            <w:r>
              <w:rPr>
                <w:rFonts w:hint="eastAsia"/>
              </w:rPr>
              <w:t>员工人数</w:t>
            </w:r>
          </w:p>
        </w:tc>
        <w:tc>
          <w:tcPr>
            <w:tcW w:w="3600" w:type="dxa"/>
            <w:shd w:val="clear" w:color="auto" w:fill="F3F3F3"/>
            <w:tcMar>
              <w:left w:w="57" w:type="dxa"/>
              <w:right w:w="57" w:type="dxa"/>
            </w:tcMar>
          </w:tcPr>
          <w:p>
            <w:r>
              <w:rPr>
                <w:rFonts w:hint="eastAsia"/>
              </w:rPr>
              <w:t>审核范围（产品和过程）</w:t>
            </w:r>
          </w:p>
          <w:p/>
          <w:p/>
        </w:tc>
        <w:tc>
          <w:tcPr>
            <w:tcW w:w="186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1" w:type="dxa"/>
            <w:vAlign w:val="center"/>
          </w:tcPr>
          <w:p>
            <w:pPr>
              <w:rPr>
                <w:lang w:eastAsia="ja-JP"/>
              </w:rPr>
            </w:pPr>
            <w:r>
              <w:rPr>
                <w:rFonts w:hint="eastAsia"/>
                <w:lang w:eastAsia="ja-JP"/>
              </w:rPr>
              <w:t>01</w:t>
            </w:r>
          </w:p>
        </w:tc>
        <w:tc>
          <w:tcPr>
            <w:tcW w:w="1485" w:type="dxa"/>
            <w:vAlign w:val="top"/>
          </w:tcPr>
          <w:p>
            <w:pPr>
              <w:spacing w:before="40" w:after="40"/>
              <w:rPr>
                <w:rFonts w:hint="eastAsia" w:ascii="Times New Roman" w:hAnsi="Times New Roman" w:eastAsia="宋体" w:cs="Times New Roman"/>
                <w:kern w:val="2"/>
                <w:sz w:val="18"/>
                <w:szCs w:val="18"/>
                <w:lang w:val="de-DE" w:eastAsia="ja-JP" w:bidi="ar-SA"/>
              </w:rPr>
            </w:pPr>
            <w:r>
              <w:rPr>
                <w:sz w:val="18"/>
                <w:szCs w:val="18"/>
              </w:rPr>
              <w:t>雅安市嘉玉农业有限公司</w:t>
            </w:r>
            <w:r>
              <w:rPr>
                <w:rFonts w:hint="eastAsia"/>
                <w:sz w:val="18"/>
                <w:szCs w:val="18"/>
                <w:lang w:val="en-US" w:eastAsia="zh-CN"/>
              </w:rPr>
              <w:t>/</w:t>
            </w:r>
            <w:r>
              <w:rPr>
                <w:sz w:val="18"/>
                <w:szCs w:val="18"/>
              </w:rPr>
              <w:t>四川省雅安市雨城区上里镇建新村11组43号</w:t>
            </w:r>
          </w:p>
        </w:tc>
        <w:tc>
          <w:tcPr>
            <w:tcW w:w="1305" w:type="dxa"/>
            <w:vAlign w:val="top"/>
          </w:tcPr>
          <w:p>
            <w:pPr>
              <w:spacing w:before="40" w:after="40"/>
              <w:rPr>
                <w:rFonts w:ascii="Times New Roman" w:hAnsi="Times New Roman" w:eastAsia="黑体" w:cs="Times New Roman"/>
                <w:kern w:val="2"/>
                <w:sz w:val="18"/>
                <w:szCs w:val="18"/>
                <w:lang w:val="de-DE" w:eastAsia="ja-JP" w:bidi="ar-SA"/>
              </w:rPr>
            </w:pPr>
            <w:r>
              <w:rPr>
                <w:sz w:val="18"/>
                <w:szCs w:val="18"/>
              </w:rPr>
              <w:t>四川省雅安市雨城区上里镇建新村11组43号</w:t>
            </w:r>
          </w:p>
        </w:tc>
        <w:tc>
          <w:tcPr>
            <w:tcW w:w="345"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12</w:t>
            </w:r>
          </w:p>
        </w:tc>
        <w:tc>
          <w:tcPr>
            <w:tcW w:w="3600" w:type="dxa"/>
            <w:vAlign w:val="center"/>
          </w:tcPr>
          <w:p>
            <w:pPr>
              <w:rPr>
                <w:sz w:val="18"/>
                <w:szCs w:val="21"/>
              </w:rPr>
            </w:pPr>
            <w:r>
              <w:rPr>
                <w:sz w:val="18"/>
                <w:szCs w:val="21"/>
              </w:rPr>
              <w:t>Q：资质许可范围内造林苗木、经济林苗木、城镇绿化苗木的种植及销售</w:t>
            </w:r>
          </w:p>
          <w:p>
            <w:pPr>
              <w:rPr>
                <w:sz w:val="18"/>
                <w:szCs w:val="21"/>
              </w:rPr>
            </w:pPr>
            <w:r>
              <w:rPr>
                <w:sz w:val="18"/>
                <w:szCs w:val="21"/>
              </w:rPr>
              <w:t>E：资质许可范围内造林苗木、经济林苗木、城镇绿化苗木的种植及销售所涉及场所的相关环境管理活动</w:t>
            </w:r>
          </w:p>
          <w:p>
            <w:pPr>
              <w:pStyle w:val="21"/>
              <w:rPr>
                <w:rFonts w:ascii="Times New Roman" w:hAnsi="Times New Roman" w:eastAsia="黑体" w:cs="Arial"/>
                <w:kern w:val="2"/>
                <w:sz w:val="21"/>
                <w:szCs w:val="21"/>
                <w:lang w:val="en-US" w:eastAsia="ja-JP" w:bidi="ar-SA"/>
              </w:rPr>
            </w:pPr>
            <w:r>
              <w:rPr>
                <w:sz w:val="18"/>
                <w:szCs w:val="21"/>
              </w:rPr>
              <w:t>O：资质许可范围内造林苗木、经济林苗木、城镇绿化苗木的种植及销售所涉及场所的相关职业健康安全管理活动</w:t>
            </w:r>
          </w:p>
        </w:tc>
        <w:tc>
          <w:tcPr>
            <w:tcW w:w="1868" w:type="dxa"/>
            <w:vAlign w:val="center"/>
          </w:tcPr>
          <w:p>
            <w:pPr>
              <w:jc w:val="left"/>
              <w:rPr>
                <w:rFonts w:ascii="宋体" w:hAnsi="宋体"/>
                <w:b w:val="0"/>
                <w:bCs/>
                <w:sz w:val="18"/>
                <w:szCs w:val="18"/>
              </w:rPr>
            </w:pPr>
            <w:r>
              <w:rPr>
                <w:rFonts w:hint="eastAsia" w:ascii="宋体" w:hAnsi="宋体"/>
                <w:b w:val="0"/>
                <w:bCs/>
                <w:sz w:val="18"/>
                <w:szCs w:val="18"/>
              </w:rPr>
              <w:t>GB/T19001-2016/ISO 9001:2015   GB/T24001-2016/ISO 14001:2015</w:t>
            </w:r>
          </w:p>
          <w:p>
            <w:pPr>
              <w:spacing w:before="40" w:after="40"/>
              <w:rPr>
                <w:rFonts w:ascii="Times New Roman" w:hAnsi="Times New Roman" w:eastAsia="黑体" w:cs="Times New Roman"/>
                <w:b w:val="0"/>
                <w:bCs/>
                <w:kern w:val="2"/>
                <w:sz w:val="18"/>
                <w:szCs w:val="18"/>
                <w:lang w:val="en-US" w:eastAsia="ja-JP" w:bidi="ar-SA"/>
              </w:rPr>
            </w:pPr>
            <w:r>
              <w:rPr>
                <w:rFonts w:hint="eastAsia" w:ascii="宋体" w:hAnsi="宋体"/>
                <w:b w:val="0"/>
                <w:bCs/>
                <w:sz w:val="18"/>
                <w:szCs w:val="18"/>
              </w:rPr>
              <w:t>GB/T45001-2020/ISO45001：2020标准</w:t>
            </w:r>
          </w:p>
        </w:tc>
        <w:tc>
          <w:tcPr>
            <w:tcW w:w="668" w:type="dxa"/>
            <w:shd w:val="clear" w:color="auto" w:fill="FFFFFF"/>
            <w:vAlign w:val="top"/>
          </w:tcPr>
          <w:sdt>
            <w:sdtPr>
              <w:rPr>
                <w:rFonts w:eastAsia="黑体"/>
                <w:b w:val="0"/>
                <w:bCs/>
                <w:sz w:val="18"/>
                <w:szCs w:val="18"/>
              </w:rPr>
              <w:id w:val="271604670"/>
            </w:sdtPr>
            <w:sdtEndPr>
              <w:rPr>
                <w:rFonts w:eastAsia="黑体"/>
                <w:b w:val="0"/>
                <w:bCs/>
                <w:sz w:val="18"/>
                <w:szCs w:val="18"/>
              </w:rPr>
            </w:sdtEndPr>
            <w:sdtContent>
              <w:p>
                <w:pPr>
                  <w:rPr>
                    <w:rFonts w:eastAsia="黑体"/>
                    <w:b w:val="0"/>
                    <w:bCs/>
                    <w:sz w:val="18"/>
                    <w:szCs w:val="18"/>
                  </w:rPr>
                </w:pPr>
                <w:r>
                  <w:rPr>
                    <w:rFonts w:hint="eastAsia" w:ascii="宋体" w:hAnsi="宋体" w:eastAsia="宋体" w:cs="宋体"/>
                    <w:b w:val="0"/>
                    <w:bCs/>
                    <w:sz w:val="18"/>
                    <w:szCs w:val="18"/>
                  </w:rPr>
                  <w:t>■</w:t>
                </w:r>
              </w:p>
            </w:sdtContent>
          </w:sdt>
          <w:p>
            <w:pPr>
              <w:rPr>
                <w:rFonts w:ascii="Times New Roman" w:hAnsi="Times New Roman" w:eastAsia="黑体" w:cs="Times New Roman"/>
                <w:b w:val="0"/>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1" w:type="dxa"/>
            <w:vAlign w:val="center"/>
          </w:tcPr>
          <w:p>
            <w:pPr>
              <w:rPr>
                <w:lang w:eastAsia="ja-JP"/>
              </w:rPr>
            </w:pPr>
            <w:r>
              <w:rPr>
                <w:rFonts w:hint="eastAsia"/>
                <w:lang w:eastAsia="ja-JP"/>
              </w:rPr>
              <w:t>02</w:t>
            </w:r>
          </w:p>
        </w:tc>
        <w:tc>
          <w:tcPr>
            <w:tcW w:w="1485" w:type="dxa"/>
            <w:vAlign w:val="top"/>
          </w:tcPr>
          <w:p>
            <w:pPr>
              <w:spacing w:before="40" w:after="40"/>
              <w:rPr>
                <w:rFonts w:hint="eastAsia" w:ascii="Times New Roman" w:hAnsi="Times New Roman" w:eastAsia="宋体" w:cs="Times New Roman"/>
                <w:kern w:val="2"/>
                <w:sz w:val="18"/>
                <w:szCs w:val="18"/>
                <w:lang w:val="en-US" w:eastAsia="ja-JP" w:bidi="ar-SA"/>
              </w:rPr>
            </w:pPr>
            <w:r>
              <w:rPr>
                <w:sz w:val="18"/>
                <w:szCs w:val="18"/>
              </w:rPr>
              <w:t>雅安市嘉玉农业有限公司</w:t>
            </w:r>
            <w:r>
              <w:rPr>
                <w:rFonts w:hint="eastAsia"/>
                <w:sz w:val="18"/>
                <w:szCs w:val="18"/>
                <w:lang w:val="en-US" w:eastAsia="zh-CN"/>
              </w:rPr>
              <w:t>/</w:t>
            </w:r>
            <w:r>
              <w:rPr>
                <w:sz w:val="18"/>
                <w:szCs w:val="18"/>
              </w:rPr>
              <w:t>四川省雅安市雨城区上里镇建新村11组43号</w:t>
            </w:r>
          </w:p>
        </w:tc>
        <w:tc>
          <w:tcPr>
            <w:tcW w:w="1305" w:type="dxa"/>
            <w:vAlign w:val="center"/>
          </w:tcPr>
          <w:p>
            <w:pPr>
              <w:spacing w:before="40" w:after="40"/>
              <w:rPr>
                <w:rFonts w:ascii="Times New Roman" w:hAnsi="Times New Roman" w:eastAsia="黑体" w:cs="Times New Roman"/>
                <w:kern w:val="2"/>
                <w:sz w:val="18"/>
                <w:szCs w:val="18"/>
                <w:lang w:val="en-US" w:eastAsia="ja-JP" w:bidi="ar-SA"/>
              </w:rPr>
            </w:pPr>
            <w:r>
              <w:rPr>
                <w:sz w:val="18"/>
                <w:szCs w:val="18"/>
              </w:rPr>
              <w:t>四川省雅安市雨城区上里镇建新村8组</w:t>
            </w:r>
          </w:p>
        </w:tc>
        <w:tc>
          <w:tcPr>
            <w:tcW w:w="345"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3</w:t>
            </w:r>
          </w:p>
        </w:tc>
        <w:tc>
          <w:tcPr>
            <w:tcW w:w="3600" w:type="dxa"/>
            <w:vAlign w:val="center"/>
          </w:tcPr>
          <w:p>
            <w:pPr>
              <w:rPr>
                <w:sz w:val="18"/>
                <w:szCs w:val="21"/>
              </w:rPr>
            </w:pPr>
            <w:r>
              <w:rPr>
                <w:sz w:val="18"/>
                <w:szCs w:val="21"/>
              </w:rPr>
              <w:t>Q：资质许可范围内造林苗木、经济林苗木、城镇绿化苗木的种植及销售</w:t>
            </w:r>
          </w:p>
          <w:p>
            <w:pPr>
              <w:rPr>
                <w:sz w:val="18"/>
                <w:szCs w:val="21"/>
              </w:rPr>
            </w:pPr>
            <w:r>
              <w:rPr>
                <w:sz w:val="18"/>
                <w:szCs w:val="21"/>
              </w:rPr>
              <w:t>E：资质许可范围内造林苗木、经济林苗木、城镇绿化苗木的种植及销售所涉及场所的相关环境管理活动</w:t>
            </w:r>
          </w:p>
          <w:p>
            <w:pPr>
              <w:spacing w:before="40" w:after="40"/>
              <w:rPr>
                <w:rFonts w:ascii="Times New Roman" w:hAnsi="Times New Roman" w:eastAsia="黑体" w:cs="Times New Roman"/>
                <w:kern w:val="2"/>
                <w:sz w:val="21"/>
                <w:szCs w:val="21"/>
                <w:lang w:val="en-US" w:eastAsia="ja-JP" w:bidi="ar-SA"/>
              </w:rPr>
            </w:pPr>
            <w:r>
              <w:rPr>
                <w:sz w:val="18"/>
                <w:szCs w:val="21"/>
              </w:rPr>
              <w:t>O：资质许可范围内造林苗木、经济林苗木、城镇绿化苗木的种植及销售所涉及场所的相关职业健康安全管理活动</w:t>
            </w:r>
          </w:p>
        </w:tc>
        <w:tc>
          <w:tcPr>
            <w:tcW w:w="1868" w:type="dxa"/>
            <w:vAlign w:val="center"/>
          </w:tcPr>
          <w:p>
            <w:pPr>
              <w:jc w:val="left"/>
              <w:rPr>
                <w:rFonts w:ascii="宋体" w:hAnsi="宋体"/>
                <w:b w:val="0"/>
                <w:bCs/>
                <w:sz w:val="18"/>
                <w:szCs w:val="18"/>
              </w:rPr>
            </w:pPr>
            <w:r>
              <w:rPr>
                <w:rFonts w:hint="eastAsia" w:ascii="宋体" w:hAnsi="宋体"/>
                <w:b w:val="0"/>
                <w:bCs/>
                <w:sz w:val="18"/>
                <w:szCs w:val="18"/>
              </w:rPr>
              <w:t>GB/T19001-2016/ISO 9001:2015   GB/T24001-2016/ISO 14001:2015</w:t>
            </w:r>
          </w:p>
          <w:p>
            <w:pPr>
              <w:spacing w:before="40" w:after="40"/>
              <w:rPr>
                <w:rFonts w:ascii="Times New Roman" w:hAnsi="Times New Roman" w:eastAsia="黑体" w:cs="Times New Roman"/>
                <w:b w:val="0"/>
                <w:bCs/>
                <w:kern w:val="2"/>
                <w:sz w:val="18"/>
                <w:szCs w:val="18"/>
                <w:lang w:val="en-US" w:eastAsia="ja-JP" w:bidi="ar-SA"/>
              </w:rPr>
            </w:pPr>
            <w:r>
              <w:rPr>
                <w:rFonts w:hint="eastAsia" w:ascii="宋体" w:hAnsi="宋体"/>
                <w:b w:val="0"/>
                <w:bCs/>
                <w:sz w:val="18"/>
                <w:szCs w:val="18"/>
              </w:rPr>
              <w:t>GB/T45001-2020/ISO45001：2020标准</w:t>
            </w:r>
          </w:p>
        </w:tc>
        <w:tc>
          <w:tcPr>
            <w:tcW w:w="668" w:type="dxa"/>
            <w:shd w:val="clear" w:color="auto" w:fill="FFFFFF"/>
            <w:vAlign w:val="top"/>
          </w:tcPr>
          <w:sdt>
            <w:sdtPr>
              <w:rPr>
                <w:rFonts w:eastAsia="黑体"/>
                <w:b w:val="0"/>
                <w:bCs/>
                <w:sz w:val="18"/>
                <w:szCs w:val="18"/>
              </w:rPr>
              <w:id w:val="1360237495"/>
            </w:sdtPr>
            <w:sdtEndPr>
              <w:rPr>
                <w:rFonts w:eastAsia="黑体"/>
                <w:b w:val="0"/>
                <w:bCs/>
                <w:sz w:val="18"/>
                <w:szCs w:val="18"/>
              </w:rPr>
            </w:sdtEndPr>
            <w:sdtContent>
              <w:p>
                <w:pPr>
                  <w:rPr>
                    <w:rFonts w:eastAsia="黑体"/>
                    <w:b w:val="0"/>
                    <w:bCs/>
                    <w:sz w:val="18"/>
                    <w:szCs w:val="18"/>
                  </w:rPr>
                </w:pPr>
                <w:r>
                  <w:rPr>
                    <w:rFonts w:hint="eastAsia" w:ascii="宋体" w:hAnsi="宋体" w:eastAsia="宋体" w:cs="宋体"/>
                    <w:b w:val="0"/>
                    <w:bCs/>
                    <w:sz w:val="18"/>
                    <w:szCs w:val="18"/>
                  </w:rPr>
                  <w:t>■</w:t>
                </w:r>
              </w:p>
            </w:sdtContent>
          </w:sdt>
          <w:p>
            <w:pPr>
              <w:rPr>
                <w:rFonts w:ascii="Times New Roman" w:hAnsi="Times New Roman" w:eastAsia="黑体" w:cs="Times New Roman"/>
                <w:b w:val="0"/>
                <w:bCs/>
                <w:kern w:val="2"/>
                <w:sz w:val="18"/>
                <w:szCs w:val="18"/>
                <w:lang w:val="en-US" w:eastAsia="zh-CN" w:bidi="ar-S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陈兴平</w:t>
            </w:r>
          </w:p>
        </w:tc>
        <w:tc>
          <w:tcPr>
            <w:tcW w:w="1089" w:type="dxa"/>
            <w:vAlign w:val="center"/>
          </w:tcPr>
          <w:p>
            <w:r>
              <w:t>组员</w:t>
            </w:r>
          </w:p>
        </w:tc>
        <w:tc>
          <w:tcPr>
            <w:tcW w:w="711" w:type="dxa"/>
            <w:vAlign w:val="center"/>
          </w:tcPr>
          <w:p>
            <w:r>
              <w:t>男</w:t>
            </w:r>
          </w:p>
        </w:tc>
        <w:tc>
          <w:tcPr>
            <w:tcW w:w="3870" w:type="dxa"/>
            <w:vAlign w:val="center"/>
          </w:tcPr>
          <w:p>
            <w:r>
              <w:t>ISC-JSZJ-409</w:t>
            </w:r>
          </w:p>
          <w:p>
            <w:r>
              <w:t>ISC-JSZJ-409</w:t>
            </w:r>
          </w:p>
          <w:p>
            <w:r>
              <w:t>ISC-JSZJ-409</w:t>
            </w:r>
          </w:p>
          <w:p>
            <w:r>
              <w:t>四川嘉普信工程技术咨询有限公司</w:t>
            </w:r>
          </w:p>
        </w:tc>
        <w:tc>
          <w:tcPr>
            <w:tcW w:w="2179" w:type="dxa"/>
            <w:vAlign w:val="center"/>
          </w:tcPr>
          <w:p>
            <w:r>
              <w:t>Q:01.03.00</w:t>
            </w:r>
          </w:p>
          <w:p>
            <w:r>
              <w:t>E:01.03.00</w:t>
            </w:r>
          </w:p>
          <w:p>
            <w:r>
              <w:t>O:01.03.00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18"/>
                <w:szCs w:val="21"/>
              </w:rPr>
              <w:t>资质许可范围内造林苗木、经济林苗木、城镇绿化苗木的种植及销售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18"/>
                <w:szCs w:val="21"/>
              </w:rPr>
              <w:t>资质许可范围内造林苗木、经济林苗木、城镇绿化苗木的种植及销售所涉及场所的相关环境管理活动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18"/>
                <w:szCs w:val="21"/>
              </w:rPr>
              <w:t>资质许可范围内造林苗木、经济林苗木、城镇绿化苗木的种植及销售所涉及场所的相关职业健康安全管理活动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最高管理者制定了文件化的管理体系方针：追求品质，诚信为本，用户满意；节能减排，珍爱环境，遵规守法；以人为本，关注健康，持续改进。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产品交付合格率100％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ascii="Times New Roman" w:hAnsi="Times New Roman" w:eastAsia="宋体" w:cs="Times New Roman"/>
                      <w:color w:val="000000"/>
                      <w:szCs w:val="18"/>
                      <w:highlight w:val="none"/>
                      <w:lang w:val="en-US" w:eastAsia="zh-CN"/>
                    </w:rPr>
                    <w:t>产品交付数/产品合格数</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顾客满意率≥90％</w:t>
                  </w:r>
                </w:p>
              </w:tc>
              <w:tc>
                <w:tcPr>
                  <w:tcW w:w="3136"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顾客满意度调查总分/调查顾客数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客户投诉处理率达100％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客户投诉数/处理数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color w:val="000000"/>
                <w:u w:val="single"/>
                <w:lang w:val="en-US" w:eastAsia="zh-CN"/>
              </w:rPr>
              <w:t>旋耕机、起垄机，喷灌机，抽水泵</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eastAsia="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卷尺、游标卡尺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苗木种植</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移植过程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枝条密度，根系保护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宋体" w:hAnsi="宋体" w:eastAsia="宋体" w:cs="宋体"/>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20211</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最高管理者制定了文件化的管理体系方针：追求品质，诚信为本，用户满意；节能减排，珍爱环境，遵规守法；以人为本，关注健康，持续改进。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固体废弃物有效处置率100%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综合办</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火灾事故为零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综合办</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color w:val="000000"/>
                <w:u w:val="single"/>
                <w:lang w:val="en-US" w:eastAsia="zh-CN"/>
              </w:rPr>
              <w:t>旋耕机、起垄机，喷灌机，抽水泵</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eastAsia="宋体" w:cs="宋体"/>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卷尺、游标卡尺</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lang w:eastAsia="zh-CN"/>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w:t>
            </w:r>
            <w:r>
              <w:rPr>
                <w:rFonts w:hint="eastAsia"/>
                <w:lang w:val="en-US"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rPr>
              <w:t>¨</w:t>
            </w:r>
            <w:r>
              <w:rPr>
                <w:rFonts w:hint="eastAsia"/>
              </w:rPr>
              <w:t>定期（每年）：</w:t>
            </w:r>
            <w:r>
              <w:rPr>
                <w:rFonts w:hint="eastAsia"/>
                <w:lang w:val="en-US" w:eastAsia="zh-CN"/>
              </w:rPr>
              <w:t>2021年11月25日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最高管理者制定了文件化的职业健康安全管理体系方针：追求品质，诚信为本，用户满意；节能减排，珍爱环境，遵规守法；以人为本，关注健康，持续改进。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w:t>
            </w:r>
          </w:p>
          <w:p>
            <w:pPr>
              <w:rPr>
                <w:rFonts w:hint="eastAsia" w:eastAsia="宋体"/>
                <w:lang w:val="en-US" w:eastAsia="zh-CN"/>
              </w:rPr>
            </w:pPr>
            <w:r>
              <w:rPr>
                <w:rFonts w:hint="eastAsia"/>
              </w:rPr>
              <w:t>安全的主管部门是——</w:t>
            </w:r>
            <w:r>
              <w:rPr>
                <w:rFonts w:hint="eastAsia"/>
                <w:lang w:val="en-US" w:eastAsia="zh-CN"/>
              </w:rPr>
              <w:t>综合办</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cs="宋体"/>
                <w:b w:val="0"/>
                <w:color w:val="auto"/>
                <w:sz w:val="21"/>
                <w:szCs w:val="21"/>
                <w:highlight w:val="none"/>
                <w:lang w:eastAsia="zh-CN"/>
              </w:rPr>
              <w:t>沈玉美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火灾事故为零</w:t>
                  </w:r>
                </w:p>
              </w:tc>
              <w:tc>
                <w:tcPr>
                  <w:tcW w:w="3136" w:type="dxa"/>
                  <w:shd w:val="clear" w:color="auto" w:fill="auto"/>
                  <w:vAlign w:val="center"/>
                </w:tcPr>
                <w:p>
                  <w:pPr>
                    <w:rPr>
                      <w:rFonts w:hint="default" w:ascii="宋体" w:hAnsi="宋体" w:eastAsia="宋体" w:cs="Times New Roman"/>
                      <w:kern w:val="2"/>
                      <w:sz w:val="21"/>
                      <w:szCs w:val="24"/>
                      <w:lang w:val="en-GB"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综合办</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重伤事故为零</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佩戴劳保用品，安全防护、做好培训，制定制度</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综合办</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color w:val="000000"/>
                <w:u w:val="single"/>
                <w:lang w:val="en-US" w:eastAsia="zh-CN"/>
              </w:rPr>
              <w:t>旋耕机、起垄机，喷灌机，抽水泵</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sym w:font="Wingdings 2" w:char="00A3"/>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sym w:font="Wingdings 2" w:char="00A3"/>
            </w:r>
            <w:r>
              <w:rPr>
                <w:rFonts w:hint="eastAsia"/>
              </w:rPr>
              <w:t xml:space="preserve">叉车 </w:t>
            </w:r>
            <w:r>
              <w:rPr>
                <w:rFonts w:hint="eastAsia" w:ascii="Wingdings" w:hAnsi="Wingdings"/>
                <w:lang w:eastAsia="zh-CN"/>
              </w:rPr>
              <w:t>□</w:t>
            </w:r>
            <w:r>
              <w:rPr>
                <w:rFonts w:hint="eastAsia"/>
              </w:rPr>
              <w:t>行车</w:t>
            </w:r>
            <w:r>
              <w:rPr>
                <w:rFonts w:hint="eastAsia" w:ascii="Wingdings" w:hAnsi="Wingdings"/>
                <w:lang w:eastAsia="zh-CN"/>
              </w:rPr>
              <w:sym w:font="Wingdings 2" w:char="00A3"/>
            </w:r>
            <w:r>
              <w:rPr>
                <w:rFonts w:hint="eastAsia"/>
              </w:rPr>
              <w:t xml:space="preserve">锅炉 </w:t>
            </w:r>
            <w:r>
              <w:rPr>
                <w:rFonts w:hint="eastAsia" w:ascii="Wingdings" w:hAnsi="Wingdings"/>
                <w:lang w:eastAsia="zh-CN"/>
              </w:rPr>
              <w:sym w:font="Wingdings 2" w:char="00A3"/>
            </w:r>
            <w:r>
              <w:rPr>
                <w:rFonts w:hint="eastAsia"/>
              </w:rPr>
              <w:t xml:space="preserve">电梯  </w:t>
            </w:r>
            <w:r>
              <w:rPr>
                <w:rFonts w:hint="eastAsia" w:ascii="Wingdings" w:hAnsi="Wingdings"/>
                <w:lang w:eastAsia="zh-CN"/>
              </w:rPr>
              <w:sym w:font="Wingdings 2" w:char="00A3"/>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sym w:font="Wingdings 2" w:char="00A3"/>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消防演练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宋体" w:hAnsi="宋体" w:eastAsia="宋体" w:cs="宋体"/>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10"/>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7.4</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7.5</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9.2</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中國龍中黑體">
    <w:altName w:val="黑体"/>
    <w:panose1 w:val="00000000000000000000"/>
    <w:charset w:val="88"/>
    <w:family w:val="modern"/>
    <w:pitch w:val="default"/>
    <w:sig w:usb0="00000000" w:usb1="00000000" w:usb2="0000003F"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A767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2021-12-23T03:13:37Z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