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雅安市嘉玉农业有限公司</w:t>
            </w:r>
            <w:bookmarkEnd w:id="0"/>
            <w:r>
              <w:rPr>
                <w:rFonts w:hint="eastAsia"/>
                <w:color w:val="000000"/>
                <w:sz w:val="24"/>
                <w:szCs w:val="24"/>
              </w:rPr>
              <w:t xml:space="preserve">                 陪同人员：</w:t>
            </w:r>
            <w:bookmarkStart w:id="1" w:name="联系人"/>
            <w:r>
              <w:rPr>
                <w:sz w:val="21"/>
                <w:szCs w:val="21"/>
              </w:rPr>
              <w:t>胥光金</w:t>
            </w:r>
            <w:bookmarkEnd w:id="1"/>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r>
              <w:rPr>
                <w:rFonts w:hint="eastAsia"/>
                <w:color w:val="000000"/>
                <w:sz w:val="24"/>
                <w:szCs w:val="24"/>
              </w:rPr>
              <w:t>李林，陈兴平</w:t>
            </w:r>
            <w:bookmarkEnd w:id="2"/>
            <w:r>
              <w:rPr>
                <w:rFonts w:hint="eastAsia"/>
                <w:color w:val="000000"/>
                <w:sz w:val="24"/>
                <w:szCs w:val="24"/>
                <w:lang w:val="en-US" w:eastAsia="zh-CN"/>
              </w:rPr>
              <w:t>,余家龙</w:t>
            </w:r>
            <w:r>
              <w:rPr>
                <w:rFonts w:hint="eastAsia"/>
                <w:color w:val="000000"/>
                <w:sz w:val="24"/>
                <w:szCs w:val="24"/>
              </w:rPr>
              <w:t xml:space="preserve">               审核时间：</w:t>
            </w:r>
            <w:bookmarkStart w:id="3" w:name="审核日期"/>
            <w:r>
              <w:rPr>
                <w:color w:val="000000"/>
              </w:rPr>
              <w:t>2021年12月19日 下午至2021年12月20日 上午</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none"/>
              </w:rPr>
            </w:pPr>
            <w:r>
              <w:rPr>
                <w:rFonts w:hint="eastAsia"/>
                <w:color w:val="000000"/>
                <w:szCs w:val="21"/>
                <w:highlight w:val="none"/>
              </w:rPr>
              <w:t>现场检查</w:t>
            </w:r>
            <w:r>
              <w:rPr>
                <w:rFonts w:hint="eastAsia"/>
                <w:b/>
                <w:bCs/>
                <w:color w:val="000000"/>
                <w:szCs w:val="21"/>
                <w:highlight w:val="none"/>
              </w:rPr>
              <w:t>《营业执照》</w:t>
            </w:r>
            <w:r>
              <w:rPr>
                <w:rFonts w:hint="eastAsia"/>
                <w:color w:val="000000"/>
                <w:szCs w:val="21"/>
                <w:highlight w:val="none"/>
              </w:rPr>
              <w:t>——：</w:t>
            </w:r>
            <w:r>
              <w:rPr>
                <w:rFonts w:hint="eastAsia"/>
                <w:color w:val="000000"/>
                <w:szCs w:val="21"/>
                <w:highlight w:val="none"/>
              </w:rPr>
              <w:sym w:font="Wingdings 2" w:char="0052"/>
            </w:r>
            <w:r>
              <w:rPr>
                <w:rFonts w:hint="eastAsia" w:ascii="宋体" w:hAnsi="宋体"/>
                <w:color w:val="000000"/>
                <w:szCs w:val="21"/>
                <w:highlight w:val="none"/>
              </w:rPr>
              <w:t xml:space="preserve">正本 </w:t>
            </w:r>
            <w:r>
              <w:rPr>
                <w:rFonts w:hint="eastAsia"/>
                <w:color w:val="000000"/>
                <w:szCs w:val="21"/>
                <w:highlight w:val="none"/>
              </w:rPr>
              <w:t xml:space="preserve">□副本；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hint="eastAsia"/>
                <w:color w:val="000000"/>
                <w:szCs w:val="21"/>
                <w:highlight w:val="none"/>
              </w:rPr>
              <w:t>□复印件</w:t>
            </w:r>
          </w:p>
          <w:p>
            <w:pPr>
              <w:spacing w:line="440" w:lineRule="exact"/>
              <w:ind w:firstLine="420" w:firstLineChars="200"/>
              <w:rPr>
                <w:color w:val="000000"/>
                <w:szCs w:val="21"/>
                <w:highlight w:val="none"/>
                <w:u w:val="single"/>
              </w:rPr>
            </w:pPr>
            <w:r>
              <w:rPr>
                <w:rFonts w:hint="eastAsia"/>
                <w:color w:val="000000"/>
                <w:szCs w:val="21"/>
                <w:highlight w:val="none"/>
              </w:rPr>
              <w:t>编号</w:t>
            </w:r>
            <w:r>
              <w:rPr>
                <w:rFonts w:hint="eastAsia"/>
                <w:color w:val="000000"/>
                <w:szCs w:val="21"/>
                <w:highlight w:val="none"/>
                <w:u w:val="single"/>
              </w:rPr>
              <w:t>：</w:t>
            </w:r>
            <w:r>
              <w:rPr>
                <w:rFonts w:hint="eastAsia"/>
                <w:color w:val="000000"/>
                <w:szCs w:val="21"/>
                <w:highlight w:val="none"/>
                <w:u w:val="single"/>
                <w:lang w:val="en-US" w:eastAsia="zh-CN"/>
              </w:rPr>
              <w:t>91511802MA69U8TT3X</w:t>
            </w:r>
            <w:r>
              <w:rPr>
                <w:rFonts w:hint="eastAsia"/>
                <w:color w:val="000000"/>
                <w:szCs w:val="21"/>
                <w:highlight w:val="none"/>
                <w:u w:val="single"/>
              </w:rPr>
              <w:t xml:space="preserve"> </w:t>
            </w:r>
            <w:r>
              <w:rPr>
                <w:rFonts w:hint="eastAsia"/>
                <w:color w:val="000000"/>
                <w:szCs w:val="21"/>
                <w:highlight w:val="none"/>
              </w:rPr>
              <w:t>； 有效期：</w:t>
            </w:r>
            <w:r>
              <w:rPr>
                <w:rFonts w:hint="eastAsia"/>
                <w:color w:val="000000"/>
                <w:szCs w:val="21"/>
                <w:highlight w:val="none"/>
                <w:lang w:val="en-US" w:eastAsia="zh-CN"/>
              </w:rPr>
              <w:t>长期</w:t>
            </w:r>
            <w:r>
              <w:rPr>
                <w:rFonts w:hint="eastAsia"/>
                <w:color w:val="000000"/>
                <w:szCs w:val="21"/>
                <w:highlight w:val="none"/>
              </w:rPr>
              <w:t>；</w:t>
            </w:r>
          </w:p>
          <w:p>
            <w:pPr>
              <w:spacing w:line="440" w:lineRule="exact"/>
              <w:ind w:firstLine="420" w:firstLineChars="200"/>
              <w:rPr>
                <w:color w:val="000000"/>
                <w:szCs w:val="21"/>
                <w:highlight w:val="none"/>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一般项目:茶叶种植;农副产品销售;农作物栽培服务;农作物种子经营(仅限不再分装的包装种子)。(除依法须经批准的项目外，凭营业执照依法自主开展经营活动)许可项目:茶叶制品生产;林木种子生产经营。(依法须经批准的项目，经相关部门批准后方可开展经营活动，具体经营项目以相关部门批准文件或许可证件为准)；</w:t>
            </w:r>
          </w:p>
          <w:p>
            <w:pPr>
              <w:spacing w:line="440" w:lineRule="exact"/>
              <w:ind w:firstLine="420" w:firstLineChars="200"/>
              <w:rPr>
                <w:rFonts w:hint="eastAsia"/>
                <w:color w:val="000000"/>
                <w:highlight w:val="none"/>
              </w:rPr>
            </w:pPr>
            <w:r>
              <w:rPr>
                <w:rFonts w:hint="eastAsia"/>
                <w:color w:val="000000"/>
                <w:highlight w:val="none"/>
              </w:rPr>
              <w:t>认证申请范围：Q：资质许可范围内造林苗木、经济林苗木、城镇绿化苗木的种植及销售</w:t>
            </w:r>
          </w:p>
          <w:p>
            <w:pPr>
              <w:spacing w:line="440" w:lineRule="exact"/>
              <w:ind w:firstLine="420" w:firstLineChars="200"/>
              <w:rPr>
                <w:rFonts w:hint="eastAsia"/>
                <w:color w:val="000000"/>
                <w:highlight w:val="none"/>
              </w:rPr>
            </w:pPr>
            <w:r>
              <w:rPr>
                <w:rFonts w:hint="eastAsia"/>
                <w:color w:val="000000"/>
                <w:highlight w:val="none"/>
              </w:rPr>
              <w:t>E：资质许可范围内造林苗木、经济林苗木、城镇绿化苗木的种植及销售所涉及场所的相关环境管理活动</w:t>
            </w:r>
          </w:p>
          <w:p>
            <w:pPr>
              <w:spacing w:line="440" w:lineRule="exact"/>
              <w:ind w:firstLine="420" w:firstLineChars="200"/>
              <w:rPr>
                <w:color w:val="000000"/>
                <w:highlight w:val="none"/>
              </w:rPr>
            </w:pPr>
            <w:r>
              <w:rPr>
                <w:rFonts w:hint="eastAsia"/>
                <w:color w:val="000000"/>
                <w:highlight w:val="none"/>
              </w:rPr>
              <w:t>O：资质许可范围内造林苗木、经济林苗木、城镇绿化苗木的种植及销售所涉及场所的相关职业健康安全管理活动</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证件有效</w:t>
            </w:r>
          </w:p>
          <w:p>
            <w:pPr>
              <w:rPr>
                <w:color w:val="000000"/>
                <w:highlight w:val="none"/>
              </w:rPr>
            </w:pPr>
            <w:r>
              <w:rPr>
                <w:rFonts w:hint="eastAsia"/>
                <w:color w:val="000000"/>
                <w:szCs w:val="21"/>
                <w:highlight w:val="none"/>
              </w:rPr>
              <w:t>□</w:t>
            </w:r>
            <w:r>
              <w:rPr>
                <w:rFonts w:hint="eastAsia"/>
                <w:color w:val="000000"/>
                <w:highlight w:val="none"/>
              </w:rPr>
              <w:t>证件失效</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范围合规</w:t>
            </w:r>
          </w:p>
          <w:p>
            <w:pPr>
              <w:rPr>
                <w:color w:val="000000"/>
                <w:highlight w:val="none"/>
              </w:rPr>
            </w:pPr>
            <w:r>
              <w:rPr>
                <w:rFonts w:hint="eastAsia"/>
                <w:color w:val="000000"/>
                <w:szCs w:val="21"/>
                <w:highlight w:val="none"/>
              </w:rPr>
              <w:t>□</w:t>
            </w:r>
            <w:r>
              <w:rPr>
                <w:rFonts w:hint="eastAsia"/>
                <w:color w:val="000000"/>
                <w:highlight w:val="none"/>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none"/>
              </w:rPr>
            </w:pPr>
            <w:r>
              <w:rPr>
                <w:rFonts w:hint="eastAsia"/>
                <w:color w:val="000000"/>
                <w:szCs w:val="21"/>
                <w:highlight w:val="none"/>
              </w:rPr>
              <w:t>现场检查</w:t>
            </w:r>
            <w:r>
              <w:rPr>
                <w:rFonts w:hint="eastAsia"/>
                <w:b/>
                <w:bCs/>
                <w:color w:val="000000"/>
                <w:szCs w:val="21"/>
                <w:highlight w:val="none"/>
              </w:rPr>
              <w:t>《</w:t>
            </w:r>
            <w:r>
              <w:rPr>
                <w:rFonts w:hint="eastAsia"/>
                <w:b/>
                <w:bCs/>
                <w:color w:val="000000"/>
                <w:szCs w:val="21"/>
                <w:highlight w:val="none"/>
                <w:lang w:val="en-US" w:eastAsia="zh-CN"/>
              </w:rPr>
              <w:t>林木种子生产经营</w:t>
            </w:r>
            <w:r>
              <w:rPr>
                <w:rFonts w:hint="eastAsia"/>
                <w:b/>
                <w:bCs/>
                <w:color w:val="000000"/>
                <w:szCs w:val="21"/>
                <w:highlight w:val="none"/>
              </w:rPr>
              <w:t>许可证》</w:t>
            </w:r>
            <w:r>
              <w:rPr>
                <w:rFonts w:hint="eastAsia"/>
                <w:color w:val="000000"/>
                <w:szCs w:val="21"/>
                <w:highlight w:val="none"/>
              </w:rPr>
              <w:t>——：</w:t>
            </w:r>
            <w:r>
              <w:rPr>
                <w:rFonts w:hint="eastAsia"/>
                <w:color w:val="000000"/>
                <w:szCs w:val="21"/>
                <w:highlight w:val="none"/>
              </w:rPr>
              <w:sym w:font="Wingdings 2" w:char="0052"/>
            </w:r>
            <w:r>
              <w:rPr>
                <w:rFonts w:hint="eastAsia" w:ascii="宋体" w:hAnsi="宋体"/>
                <w:color w:val="000000"/>
                <w:szCs w:val="21"/>
                <w:highlight w:val="none"/>
              </w:rPr>
              <w:t xml:space="preserve">正本 </w:t>
            </w:r>
            <w:r>
              <w:rPr>
                <w:rFonts w:hint="eastAsia"/>
                <w:color w:val="000000"/>
                <w:szCs w:val="21"/>
                <w:highlight w:val="none"/>
              </w:rPr>
              <w:t>□副本； □</w:t>
            </w:r>
            <w:r>
              <w:rPr>
                <w:rFonts w:hint="eastAsia" w:ascii="宋体" w:hAnsi="宋体"/>
                <w:color w:val="000000"/>
                <w:szCs w:val="21"/>
                <w:highlight w:val="none"/>
              </w:rPr>
              <w:t xml:space="preserve">原件 </w:t>
            </w:r>
            <w:r>
              <w:rPr>
                <w:rFonts w:hint="eastAsia"/>
                <w:color w:val="000000"/>
                <w:szCs w:val="21"/>
                <w:highlight w:val="none"/>
              </w:rPr>
              <w:t>□复印件</w:t>
            </w:r>
          </w:p>
          <w:p>
            <w:pPr>
              <w:spacing w:line="440" w:lineRule="exact"/>
              <w:ind w:firstLine="420" w:firstLineChars="200"/>
              <w:rPr>
                <w:color w:val="000000"/>
                <w:szCs w:val="21"/>
                <w:highlight w:val="none"/>
              </w:rPr>
            </w:pPr>
            <w:r>
              <w:rPr>
                <w:rFonts w:hint="eastAsia"/>
                <w:color w:val="000000"/>
                <w:szCs w:val="21"/>
                <w:highlight w:val="none"/>
              </w:rPr>
              <w:t>编号</w:t>
            </w:r>
            <w:r>
              <w:rPr>
                <w:rFonts w:hint="eastAsia"/>
                <w:color w:val="000000"/>
                <w:szCs w:val="21"/>
                <w:highlight w:val="none"/>
                <w:u w:val="single"/>
              </w:rPr>
              <w:t>：</w:t>
            </w:r>
            <w:r>
              <w:rPr>
                <w:rFonts w:hint="eastAsia"/>
                <w:color w:val="000000"/>
                <w:szCs w:val="21"/>
                <w:highlight w:val="none"/>
                <w:u w:val="single"/>
                <w:lang w:val="en-US" w:eastAsia="zh-CN"/>
              </w:rPr>
              <w:t>51180020210017</w:t>
            </w:r>
            <w:r>
              <w:rPr>
                <w:rFonts w:hint="eastAsia"/>
                <w:color w:val="000000"/>
                <w:szCs w:val="21"/>
                <w:highlight w:val="none"/>
                <w:u w:val="single"/>
              </w:rPr>
              <w:t xml:space="preserve"> </w:t>
            </w:r>
            <w:r>
              <w:rPr>
                <w:rFonts w:hint="eastAsia"/>
                <w:color w:val="000000"/>
                <w:szCs w:val="21"/>
                <w:highlight w:val="none"/>
              </w:rPr>
              <w:t>； 有效期：</w:t>
            </w:r>
            <w:r>
              <w:rPr>
                <w:rFonts w:hint="eastAsia"/>
                <w:color w:val="000000"/>
                <w:szCs w:val="21"/>
                <w:highlight w:val="none"/>
                <w:lang w:val="en-US" w:eastAsia="zh-CN"/>
              </w:rPr>
              <w:t>2026年9月23日</w:t>
            </w:r>
            <w:r>
              <w:rPr>
                <w:rFonts w:hint="eastAsia"/>
                <w:color w:val="000000"/>
                <w:szCs w:val="21"/>
                <w:highlight w:val="none"/>
              </w:rPr>
              <w:t>；</w:t>
            </w:r>
          </w:p>
          <w:p>
            <w:pPr>
              <w:spacing w:line="440" w:lineRule="exact"/>
              <w:ind w:firstLine="420" w:firstLineChars="200"/>
              <w:rPr>
                <w:color w:val="000000"/>
                <w:szCs w:val="21"/>
                <w:highlight w:val="none"/>
                <w:u w:val="single"/>
              </w:rPr>
            </w:pPr>
          </w:p>
          <w:p>
            <w:pPr>
              <w:spacing w:line="440" w:lineRule="exact"/>
              <w:rPr>
                <w:rFonts w:hint="default" w:eastAsia="宋体"/>
                <w:color w:val="000000"/>
                <w:szCs w:val="21"/>
                <w:highlight w:val="none"/>
                <w:lang w:val="en-US" w:eastAsia="zh-CN"/>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color w:val="000000"/>
                <w:szCs w:val="21"/>
                <w:highlight w:val="none"/>
                <w:lang w:val="en-US" w:eastAsia="zh-CN"/>
              </w:rPr>
              <w:t>造林苗木、</w:t>
            </w:r>
            <w:r>
              <w:rPr>
                <w:rFonts w:hint="eastAsia"/>
                <w:color w:val="000000"/>
                <w:highlight w:val="none"/>
              </w:rPr>
              <w:t>经济林苗木、城镇绿化苗木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证件有效</w:t>
            </w:r>
          </w:p>
          <w:p>
            <w:pPr>
              <w:rPr>
                <w:color w:val="000000"/>
                <w:highlight w:val="none"/>
              </w:rPr>
            </w:pPr>
            <w:r>
              <w:rPr>
                <w:rFonts w:hint="eastAsia"/>
                <w:color w:val="000000"/>
                <w:szCs w:val="21"/>
                <w:highlight w:val="none"/>
              </w:rPr>
              <w:t>□</w:t>
            </w:r>
            <w:r>
              <w:rPr>
                <w:rFonts w:hint="eastAsia"/>
                <w:color w:val="000000"/>
                <w:highlight w:val="none"/>
              </w:rPr>
              <w:t>证件失效</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范围合规</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hint="eastAsia"/>
                <w:color w:val="000000"/>
                <w:highlight w:val="none"/>
              </w:rPr>
              <w:t>注册地址：</w:t>
            </w:r>
            <w:bookmarkStart w:id="4" w:name="注册地址"/>
            <w:r>
              <w:rPr>
                <w:sz w:val="21"/>
                <w:szCs w:val="21"/>
                <w:highlight w:val="none"/>
              </w:rPr>
              <w:t>四川省雅安市雨城区上里镇建新村11组43号</w:t>
            </w:r>
            <w:bookmarkEnd w:id="4"/>
          </w:p>
          <w:p>
            <w:pPr>
              <w:rPr>
                <w:color w:val="000000"/>
                <w:highlight w:val="none"/>
              </w:rPr>
            </w:pPr>
            <w:r>
              <w:rPr>
                <w:rFonts w:hint="eastAsia"/>
                <w:color w:val="000000"/>
                <w:highlight w:val="none"/>
              </w:rPr>
              <w:t>与《营业执照》和《</w:t>
            </w:r>
            <w:r>
              <w:rPr>
                <w:rFonts w:hint="eastAsia"/>
                <w:b/>
                <w:bCs/>
                <w:color w:val="000000"/>
                <w:szCs w:val="21"/>
                <w:highlight w:val="none"/>
                <w:lang w:val="en-US" w:eastAsia="zh-CN"/>
              </w:rPr>
              <w:t>林木种子生产经营</w:t>
            </w:r>
            <w:r>
              <w:rPr>
                <w:rFonts w:hint="eastAsia"/>
                <w:b/>
                <w:bCs/>
                <w:color w:val="000000"/>
                <w:szCs w:val="21"/>
                <w:highlight w:val="none"/>
              </w:rPr>
              <w:t>许可证</w:t>
            </w:r>
            <w:r>
              <w:rPr>
                <w:rFonts w:hint="eastAsia"/>
                <w:color w:val="000000"/>
                <w:highlight w:val="none"/>
              </w:rPr>
              <w:t>》内容一致。</w:t>
            </w:r>
          </w:p>
          <w:p>
            <w:pPr>
              <w:rPr>
                <w:color w:val="000000"/>
                <w:highlight w:val="none"/>
              </w:rPr>
            </w:pPr>
          </w:p>
          <w:p>
            <w:pPr>
              <w:rPr>
                <w:color w:val="000000"/>
                <w:highlight w:val="none"/>
              </w:rPr>
            </w:pPr>
            <w:r>
              <w:rPr>
                <w:rFonts w:hint="eastAsia"/>
                <w:color w:val="000000"/>
                <w:highlight w:val="none"/>
              </w:rPr>
              <w:t>经营地址：</w:t>
            </w:r>
            <w:r>
              <w:rPr>
                <w:sz w:val="21"/>
                <w:szCs w:val="21"/>
                <w:highlight w:val="none"/>
              </w:rPr>
              <w:t>四川省雅安市雨城区上里镇建新村11组43号/种植地址：四川省雅安市雨城区上里镇建新村8组</w:t>
            </w:r>
          </w:p>
          <w:p>
            <w:pPr>
              <w:rPr>
                <w:color w:val="000000"/>
                <w:highlight w:val="none"/>
              </w:rPr>
            </w:pPr>
            <w:r>
              <w:rPr>
                <w:rFonts w:hint="eastAsia"/>
                <w:color w:val="000000"/>
                <w:highlight w:val="none"/>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sz w:val="21"/>
                <w:szCs w:val="21"/>
              </w:rPr>
              <w:t>四川省雅安市雨城区上里镇建新村8组</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sym w:font="Wingdings" w:char="00FE"/>
            </w:r>
            <w:r>
              <w:rPr>
                <w:rFonts w:hint="eastAsia"/>
                <w:color w:val="000000"/>
              </w:rPr>
              <w:t xml:space="preserve">与组织总部在同一管理体系下运行     </w:t>
            </w:r>
          </w:p>
          <w:p>
            <w:pPr>
              <w:rPr>
                <w:color w:val="000000"/>
              </w:rPr>
            </w:pPr>
            <w:r>
              <w:rPr>
                <w:rFonts w:ascii="Wingdings" w:hAnsi="Wingdings"/>
                <w:color w:val="000000"/>
              </w:rPr>
              <w:sym w:font="Wingdings" w:char="00FE"/>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FE"/>
            </w:r>
            <w:r>
              <w:rPr>
                <w:rFonts w:hint="eastAsia"/>
                <w:color w:val="000000"/>
              </w:rPr>
              <w:t>按照统一安排实施内部审核（不强制同一时段）</w:t>
            </w:r>
          </w:p>
          <w:p>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生产/服务流程图</w:t>
            </w:r>
            <w:r>
              <w:rPr>
                <w:rFonts w:hint="eastAsia"/>
                <w:color w:val="000000"/>
                <w:lang w:eastAsia="zh-CN"/>
              </w:rPr>
              <w:t>：土地整理→栽幼苗→管理（施肥、浇水、除草、疏枝、修剪、病虫害防治）→检验→挖掘包装→交付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13</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13</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追求品质，诚信为本，用户满意；节能减排，珍爱环境，遵规守法；以人为本，关注健康，持续改进。</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产品交付合格率100％</w:t>
                  </w:r>
                </w:p>
              </w:tc>
              <w:tc>
                <w:tcPr>
                  <w:tcW w:w="1387"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月份</w:t>
                  </w:r>
                </w:p>
              </w:tc>
              <w:tc>
                <w:tcPr>
                  <w:tcW w:w="3499"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产品交付数/产品合格数</w:t>
                  </w:r>
                </w:p>
              </w:tc>
              <w:tc>
                <w:tcPr>
                  <w:tcW w:w="2444"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顾客满意率≥90％</w:t>
                  </w:r>
                </w:p>
              </w:tc>
              <w:tc>
                <w:tcPr>
                  <w:tcW w:w="1387"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年度</w:t>
                  </w:r>
                </w:p>
              </w:tc>
              <w:tc>
                <w:tcPr>
                  <w:tcW w:w="3499" w:type="dxa"/>
                  <w:vAlign w:val="center"/>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顾客满意度调查总分/调查顾客数</w:t>
                  </w:r>
                </w:p>
              </w:tc>
              <w:tc>
                <w:tcPr>
                  <w:tcW w:w="2444"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客户投诉处理率达100％</w:t>
                  </w:r>
                </w:p>
              </w:tc>
              <w:tc>
                <w:tcPr>
                  <w:tcW w:w="1387"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年度</w:t>
                  </w:r>
                </w:p>
              </w:tc>
              <w:tc>
                <w:tcPr>
                  <w:tcW w:w="3499"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客户投诉数/处理数</w:t>
                  </w:r>
                </w:p>
              </w:tc>
              <w:tc>
                <w:tcPr>
                  <w:tcW w:w="2444"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固体废弃物有效处置率100%</w:t>
                  </w:r>
                </w:p>
              </w:tc>
              <w:tc>
                <w:tcPr>
                  <w:tcW w:w="1387"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月份</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固废合理处理数/固废总数×100%</w:t>
                  </w:r>
                </w:p>
                <w:p>
                  <w:pPr>
                    <w:widowControl/>
                    <w:spacing w:before="40"/>
                    <w:jc w:val="left"/>
                    <w:rPr>
                      <w:rFonts w:hint="eastAsia" w:ascii="Times New Roman" w:hAnsi="Times New Roman" w:eastAsia="宋体" w:cs="Times New Roman"/>
                      <w:color w:val="000000"/>
                      <w:szCs w:val="18"/>
                      <w:highlight w:val="none"/>
                      <w:lang w:val="en-US" w:eastAsia="zh-CN"/>
                    </w:rPr>
                  </w:pPr>
                </w:p>
              </w:tc>
              <w:tc>
                <w:tcPr>
                  <w:tcW w:w="2444"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火灾事故为零</w:t>
                  </w:r>
                </w:p>
              </w:tc>
              <w:tc>
                <w:tcPr>
                  <w:tcW w:w="1387"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月份</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按实际情况统计</w:t>
                  </w:r>
                </w:p>
              </w:tc>
              <w:tc>
                <w:tcPr>
                  <w:tcW w:w="2444" w:type="dxa"/>
                  <w:vAlign w:val="top"/>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重伤事故为零</w:t>
                  </w:r>
                </w:p>
              </w:tc>
              <w:tc>
                <w:tcPr>
                  <w:tcW w:w="1387"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月份</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按实际情况统计</w:t>
                  </w:r>
                </w:p>
              </w:tc>
              <w:tc>
                <w:tcPr>
                  <w:tcW w:w="2444" w:type="dxa"/>
                  <w:vAlign w:val="top"/>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23</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25</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50</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13</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15</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w:t>
            </w:r>
          </w:p>
          <w:p>
            <w:pPr>
              <w:rPr>
                <w:color w:val="000000"/>
                <w:szCs w:val="18"/>
              </w:rPr>
            </w:pPr>
            <w:r>
              <w:rPr>
                <w:rFonts w:hint="eastAsia"/>
                <w:color w:val="000000"/>
                <w:szCs w:val="18"/>
              </w:rPr>
              <w:t>合理理由的详细说明：</w:t>
            </w:r>
            <w:r>
              <w:rPr>
                <w:rFonts w:hint="eastAsia" w:ascii="宋体" w:hAnsi="宋体" w:cs="宋体"/>
                <w:bCs/>
                <w:sz w:val="21"/>
                <w:szCs w:val="21"/>
              </w:rPr>
              <w:t>公司按相关国家和行业标准执行，公司生产的产品不承担设计开发责任，GB/T 19001-2016/ISO 9001:2015标准8.3条款不适用。对标准8.3条款的不适用，不影响公司提供满足顾客和适用法律法规要求的能力和责任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val="en-US" w:eastAsia="zh-CN"/>
              </w:rPr>
              <w:t>移植过程</w:t>
            </w:r>
            <w:r>
              <w:rPr>
                <w:rFonts w:hint="eastAsia"/>
                <w:color w:val="000000"/>
                <w:u w:val="single"/>
              </w:rPr>
              <w:t>；</w:t>
            </w:r>
            <w:r>
              <w:rPr>
                <w:rFonts w:hint="eastAsia"/>
                <w:color w:val="000000"/>
              </w:rPr>
              <w:t>相关控制参数名称：</w:t>
            </w:r>
            <w:r>
              <w:rPr>
                <w:rFonts w:hint="eastAsia"/>
                <w:color w:val="000000"/>
                <w:lang w:val="en-US" w:eastAsia="zh-CN"/>
              </w:rPr>
              <w:t>根系保护，茎叶保护</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移植过程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人员技能、□设备能力、□原料控制、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sym w:font="Wingdings 2" w:char="00A3"/>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lang w:eastAsia="zh-CN"/>
              </w:rPr>
              <w:t>：</w:t>
            </w:r>
            <w:r>
              <w:rPr>
                <w:rFonts w:hint="eastAsia"/>
                <w:color w:val="000000"/>
                <w:u w:val="single"/>
                <w:lang w:val="en-US" w:eastAsia="zh-CN"/>
              </w:rPr>
              <w:t>最终得分96%</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lang w:val="en-US" w:eastAsia="zh-CN"/>
              </w:rPr>
              <w:t>旋耕机、起垄机，喷灌机，抽水泵</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lang w:val="en-US" w:eastAsia="zh-CN"/>
              </w:rPr>
              <w:t>游标卡尺，钢卷尺</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ascii="宋体" w:hAnsi="宋体" w:cs="宋体"/>
                <w:b w:val="0"/>
                <w:sz w:val="21"/>
                <w:szCs w:val="21"/>
                <w:highlight w:val="none"/>
                <w:lang w:eastAsia="zh-CN"/>
              </w:rPr>
              <w:t>2021年</w:t>
            </w:r>
            <w:r>
              <w:rPr>
                <w:rFonts w:hint="eastAsia" w:ascii="宋体" w:hAnsi="宋体" w:cs="宋体"/>
                <w:b w:val="0"/>
                <w:sz w:val="21"/>
                <w:szCs w:val="21"/>
                <w:highlight w:val="none"/>
                <w:lang w:val="en-US" w:eastAsia="zh-CN"/>
              </w:rPr>
              <w:t>10</w:t>
            </w:r>
            <w:r>
              <w:rPr>
                <w:rFonts w:hint="eastAsia" w:ascii="宋体" w:hAnsi="宋体" w:cs="宋体"/>
                <w:b w:val="0"/>
                <w:sz w:val="21"/>
                <w:szCs w:val="21"/>
                <w:highlight w:val="none"/>
                <w:lang w:eastAsia="zh-CN"/>
              </w:rPr>
              <w:t>月</w:t>
            </w:r>
            <w:r>
              <w:rPr>
                <w:rFonts w:hint="eastAsia" w:ascii="宋体" w:hAnsi="宋体" w:cs="宋体"/>
                <w:b w:val="0"/>
                <w:sz w:val="21"/>
                <w:szCs w:val="21"/>
                <w:highlight w:val="none"/>
                <w:lang w:val="en-US" w:eastAsia="zh-CN"/>
              </w:rPr>
              <w:t>20</w:t>
            </w:r>
            <w:r>
              <w:rPr>
                <w:rFonts w:hint="eastAsia" w:ascii="宋体" w:hAnsi="宋体" w:cs="宋体"/>
                <w:b w:val="0"/>
                <w:sz w:val="21"/>
                <w:szCs w:val="21"/>
                <w:highlight w:val="none"/>
                <w:lang w:eastAsia="zh-CN"/>
              </w:rPr>
              <w:t>日进行了消防应急演练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lang w:val="en-US" w:eastAsia="zh-CN"/>
              </w:rPr>
              <w:t>2021年10月20日进行了消防应急演练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bookmarkStart w:id="5" w:name="_GoBack"/>
            <w:bookmarkEnd w:id="5"/>
            <w:r>
              <w:rPr>
                <w:rFonts w:hint="eastAsia"/>
                <w:color w:val="000000"/>
                <w:sz w:val="21"/>
                <w:szCs w:val="21"/>
              </w:rPr>
              <w:sym w:font="Wingdings 2" w:char="0052"/>
            </w:r>
            <w:r>
              <w:rPr>
                <w:rFonts w:hint="eastAsia"/>
                <w:color w:val="000000"/>
                <w:sz w:val="21"/>
                <w:szCs w:val="21"/>
              </w:rPr>
              <w:t>一阶段的问题已整改</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modern"/>
    <w:pitch w:val="default"/>
    <w:sig w:usb0="00000000" w:usb1="00000000" w:usb2="0000003F" w:usb3="00000000" w:csb0="001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C83DB8"/>
    <w:rsid w:val="54603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2</TotalTime>
  <ScaleCrop>false</ScaleCrop>
  <LinksUpToDate>false</LinksUpToDate>
  <CharactersWithSpaces>13072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2021-12-22T15:05:20Z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2052-11.1.0.11194</vt:lpwstr>
  </property>
</Properties>
</file>