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雅安市嘉玉农业有限公司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O：01.03.00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陈兴平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E：01.03.00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O：01.03.00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土地整理→栽幼苗→管理（施肥、浇水、除草、疏枝、修剪、病虫害防治）→检验→挖掘包装→交付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Times New Roman"/>
                <w:sz w:val="18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5"/>
                <w:lang w:val="en-US" w:eastAsia="zh-CN"/>
              </w:rPr>
              <w:t>生产过程的风险及控制措施：幼苗培养控制；移栽、种植过程中对温度、湿度、根系保护的控制；日常管理（1、施肥2、浇水3、病虫害防治等）不到位造成苗种损伤。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15"/>
                <w:lang w:val="en-US" w:eastAsia="zh-CN"/>
              </w:rPr>
              <w:t>需确认</w:t>
            </w:r>
            <w:r>
              <w:rPr>
                <w:rFonts w:hint="eastAsia" w:ascii="宋体" w:hAnsi="宋体" w:eastAsia="宋体" w:cs="Times New Roman"/>
                <w:sz w:val="18"/>
                <w:szCs w:val="15"/>
                <w:lang w:val="en-US" w:eastAsia="zh-CN"/>
              </w:rPr>
              <w:t>过程：移植过程。对人员从业资格及能力、设备设施使用保养、文件规范及过程监控记录控制进行了确认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固体废弃物排放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触电、机械伤害、火灾，采取管理方案和预案措施管理。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，中华人民共和国计量法，中华人民共和国标准化法，苗木质量核查规则LY/T 2419-2015，茶树栽培技术规程DB51/T 2481-2018，</w:t>
            </w:r>
            <w:r>
              <w:rPr>
                <w:rFonts w:hint="eastAsia"/>
                <w:b/>
                <w:sz w:val="20"/>
                <w:lang w:val="en-US" w:eastAsia="zh-CN"/>
              </w:rPr>
              <w:t>顾客要求。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苗株数量，尺寸检验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余家龙</w:t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中國龍中黑體">
    <w:altName w:val="黑体"/>
    <w:panose1 w:val="00000000000000000000"/>
    <w:charset w:val="88"/>
    <w:family w:val="modern"/>
    <w:pitch w:val="default"/>
    <w:sig w:usb0="00000000" w:usb1="00000000" w:usb2="0000003F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E0B7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2021-12-18T13:23:13Z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