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/>
          <w:szCs w:val="44"/>
          <w:u w:val="single"/>
          <w:lang w:val="en-US" w:eastAsia="zh-CN"/>
        </w:rPr>
      </w:pPr>
      <w:r>
        <w:rPr>
          <w:rFonts w:ascii="Times New Roman" w:hAnsi="Times New Roman" w:eastAsiaTheme="minorEastAsia"/>
          <w:szCs w:val="44"/>
        </w:rPr>
        <w:t>受理编号：</w:t>
      </w:r>
      <w:bookmarkStart w:id="0" w:name="合同编号"/>
      <w:r>
        <w:rPr>
          <w:rFonts w:hint="eastAsia" w:ascii="Times New Roman" w:hAnsi="Times New Roman" w:eastAsiaTheme="minorEastAsia"/>
          <w:szCs w:val="44"/>
          <w:u w:val="single"/>
        </w:rPr>
        <w:t>0196-2019</w:t>
      </w:r>
      <w:r>
        <w:rPr>
          <w:rFonts w:hint="eastAsia"/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  <w:lang w:val="en-US" w:eastAsia="zh-CN"/>
        </w:rPr>
        <w:t>1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宝鸡天健工贸有限公司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910103045671245570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马海岐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郑春阳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:lang w:val="en-US" w:eastAsia="zh-CN"/>
              </w:rPr>
              <w:t>18700775495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ISC-E-2019-0442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000000" w:themeColor="text1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000000" w:themeColor="text1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扩大</w:t>
            </w:r>
            <w:bookmarkStart w:id="2" w:name="OLE_LINK2"/>
            <w:r>
              <w:rPr>
                <w:rFonts w:hint="eastAsia" w:ascii="宋体" w:hAnsi="宋体"/>
                <w:color w:val="000000" w:themeColor="text1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  <w:bookmarkStart w:id="3" w:name="OLE_LINK3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</w:p>
          <w:bookmarkEnd w:id="3"/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企业地址</w:t>
            </w:r>
            <w:bookmarkStart w:id="4" w:name="OLE_LINK7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  <w:bookmarkEnd w:id="4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经营地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：陕西省宝鸡市陈仓区阳平宏达工业园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更改为:陕西省宝鸡市眉县首善镇余管营汽车零部件加工基地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日期：   年 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   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bookmarkStart w:id="5" w:name="_GoBack"/>
      <w:bookmarkEnd w:id="5"/>
    </w:p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7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兴武老孙</cp:lastModifiedBy>
  <dcterms:modified xsi:type="dcterms:W3CDTF">2021-12-14T08:22:52Z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CFF431850B5B4FE6BC44C5B32DC63458</vt:lpwstr>
  </property>
</Properties>
</file>