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1300-2021-EnMs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江苏美润食品有限公司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江苏美润食品有限公司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泗阳县众兴镇绿都大道187号</w:t>
            </w:r>
            <w:bookmarkEnd w:id="6"/>
          </w:p>
        </w:tc>
        <w:tc>
          <w:tcPr>
            <w:tcW w:w="1242" w:type="dxa"/>
            <w:vMerge w:val="restart"/>
            <w:vAlign w:val="center"/>
          </w:tcPr>
          <w:p>
            <w:r>
              <w:rPr>
                <w:rFonts w:hint="eastAsia"/>
              </w:rPr>
              <w:t>邮编</w:t>
            </w:r>
          </w:p>
        </w:tc>
        <w:tc>
          <w:tcPr>
            <w:tcW w:w="1771" w:type="dxa"/>
          </w:tcPr>
          <w:p>
            <w:bookmarkStart w:id="7" w:name="注册邮编"/>
            <w:r>
              <w:t>223799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泗阳县众兴镇绿都大道187号</w:t>
            </w:r>
            <w:bookmarkEnd w:id="8"/>
          </w:p>
        </w:tc>
        <w:tc>
          <w:tcPr>
            <w:tcW w:w="1242" w:type="dxa"/>
            <w:vMerge w:val="continue"/>
            <w:vAlign w:val="center"/>
          </w:tcPr>
          <w:p/>
        </w:tc>
        <w:tc>
          <w:tcPr>
            <w:tcW w:w="1771" w:type="dxa"/>
          </w:tcPr>
          <w:p>
            <w:bookmarkStart w:id="9" w:name="办公邮编"/>
            <w:r>
              <w:t>223799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张述芬</w:t>
            </w:r>
            <w:bookmarkEnd w:id="10"/>
          </w:p>
        </w:tc>
        <w:tc>
          <w:tcPr>
            <w:tcW w:w="1313" w:type="dxa"/>
            <w:vAlign w:val="center"/>
          </w:tcPr>
          <w:p>
            <w:r>
              <w:rPr>
                <w:rFonts w:hint="eastAsia"/>
              </w:rPr>
              <w:t>电话.</w:t>
            </w:r>
          </w:p>
        </w:tc>
        <w:tc>
          <w:tcPr>
            <w:tcW w:w="2180" w:type="dxa"/>
            <w:vAlign w:val="center"/>
          </w:tcPr>
          <w:p>
            <w:bookmarkStart w:id="11" w:name="联系人电话"/>
            <w:r>
              <w:t>13605247667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谈卫国</w:t>
            </w:r>
            <w:bookmarkEnd w:id="13"/>
          </w:p>
        </w:tc>
        <w:tc>
          <w:tcPr>
            <w:tcW w:w="1313" w:type="dxa"/>
            <w:vAlign w:val="center"/>
          </w:tcPr>
          <w:p>
            <w:r>
              <w:rPr>
                <w:rFonts w:hint="eastAsia"/>
              </w:rPr>
              <w:t>管理者代表</w:t>
            </w:r>
          </w:p>
        </w:tc>
        <w:tc>
          <w:tcPr>
            <w:tcW w:w="2180" w:type="dxa"/>
          </w:tcPr>
          <w:p>
            <w:bookmarkStart w:id="14" w:name="管理者代表"/>
            <w:r>
              <w:t>曹阳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olor w:val="000000"/>
                <w:szCs w:val="21"/>
              </w:rPr>
              <w:drawing>
                <wp:inline distT="0" distB="0" distL="114300" distR="114300">
                  <wp:extent cx="4975860" cy="949325"/>
                  <wp:effectExtent l="0" t="0" r="254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4975860" cy="949325"/>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2021年12月14日 下午至2021年12月16日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ascii="Times New Roman" w:hAnsi="Times New Roman" w:eastAsia="宋体" w:cs="Times New Roman"/>
                <w:lang w:val="de-DE"/>
              </w:rPr>
              <w:t>RB/T</w:t>
            </w:r>
            <w:r>
              <w:rPr>
                <w:rFonts w:hint="eastAsia" w:ascii="Times New Roman" w:hAnsi="Times New Roman" w:eastAsia="宋体" w:cs="Times New Roman"/>
              </w:rPr>
              <w:t>120-2015能源管理体系 食品企业认证要求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泗阳县众兴镇绿都大道187号</w:t>
            </w:r>
            <w:r>
              <w:rPr>
                <w:rFonts w:hint="eastAsia"/>
                <w:lang w:eastAsia="zh-CN"/>
              </w:rPr>
              <w:t>（</w:t>
            </w:r>
            <w:r>
              <w:rPr>
                <w:rFonts w:hint="eastAsia"/>
                <w:lang w:val="en-US" w:eastAsia="zh-CN"/>
              </w:rPr>
              <w:t>远程：北京市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适用于生制品（速冻饺子）生产所涉及的能源管理活动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77"/>
        <w:gridCol w:w="7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77"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79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江苏美润食品有限公司</w:t>
            </w:r>
            <w:r>
              <w:rPr>
                <w:rFonts w:hint="eastAsia"/>
                <w:lang w:val="en-US" w:eastAsia="zh-CN"/>
              </w:rPr>
              <w:t>/</w:t>
            </w:r>
            <w:r>
              <w:t>泗阳县众兴镇绿都大道187号</w:t>
            </w:r>
          </w:p>
        </w:tc>
        <w:tc>
          <w:tcPr>
            <w:tcW w:w="2267" w:type="dxa"/>
          </w:tcPr>
          <w:p>
            <w:pPr>
              <w:rPr>
                <w:lang w:val="de-DE" w:eastAsia="ja-JP"/>
              </w:rPr>
            </w:pPr>
            <w:r>
              <w:t>泗阳县众兴镇绿都大道187号</w:t>
            </w:r>
          </w:p>
        </w:tc>
        <w:tc>
          <w:tcPr>
            <w:tcW w:w="571" w:type="dxa"/>
            <w:vAlign w:val="center"/>
          </w:tcPr>
          <w:p>
            <w:pPr>
              <w:rPr>
                <w:rFonts w:hint="default" w:eastAsia="宋体"/>
                <w:lang w:val="en-US" w:eastAsia="zh-CN"/>
              </w:rPr>
            </w:pPr>
            <w:r>
              <w:rPr>
                <w:rFonts w:hint="eastAsia"/>
                <w:lang w:val="en-US" w:eastAsia="zh-CN"/>
              </w:rPr>
              <w:t>60</w:t>
            </w:r>
          </w:p>
        </w:tc>
        <w:tc>
          <w:tcPr>
            <w:tcW w:w="2677" w:type="dxa"/>
            <w:vAlign w:val="center"/>
          </w:tcPr>
          <w:p>
            <w:pPr>
              <w:rPr>
                <w:lang w:eastAsia="ja-JP"/>
              </w:rPr>
            </w:pPr>
            <w:r>
              <w:t>适用于生制品（速冻饺子）生产所涉及的能源管理活动</w:t>
            </w:r>
          </w:p>
        </w:tc>
        <w:tc>
          <w:tcPr>
            <w:tcW w:w="795" w:type="dxa"/>
            <w:vAlign w:val="center"/>
          </w:tcPr>
          <w:p>
            <w:pPr>
              <w:rPr>
                <w:rFonts w:hint="eastAsia" w:eastAsia="宋体"/>
                <w:lang w:val="en-US" w:eastAsia="zh-CN"/>
              </w:rPr>
            </w:pPr>
            <w:r>
              <w:rPr>
                <w:rFonts w:hint="eastAsia"/>
                <w:color w:val="0000FF"/>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李倩</w:t>
            </w:r>
          </w:p>
        </w:tc>
        <w:tc>
          <w:tcPr>
            <w:tcW w:w="1089" w:type="dxa"/>
            <w:vAlign w:val="center"/>
          </w:tcPr>
          <w:p>
            <w:r>
              <w:t>组员</w:t>
            </w:r>
          </w:p>
        </w:tc>
        <w:tc>
          <w:tcPr>
            <w:tcW w:w="711" w:type="dxa"/>
            <w:vAlign w:val="center"/>
          </w:tcPr>
          <w:p>
            <w:r>
              <w:t>女</w:t>
            </w:r>
          </w:p>
        </w:tc>
        <w:tc>
          <w:tcPr>
            <w:tcW w:w="3870" w:type="dxa"/>
            <w:vAlign w:val="center"/>
          </w:tcPr>
          <w:p>
            <w:r>
              <w:t>ISC-JSZJ-455</w:t>
            </w:r>
          </w:p>
          <w:p>
            <w:r>
              <w:t>天天旺食品（江苏）有限公司</w:t>
            </w:r>
          </w:p>
        </w:tc>
        <w:tc>
          <w:tcPr>
            <w:tcW w:w="2179" w:type="dxa"/>
            <w:vAlign w:val="center"/>
          </w:tcPr>
          <w:p>
            <w:r>
              <w:t>2.10</w:t>
            </w: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30" w:type="dxa"/>
            <w:vMerge w:val="continue"/>
            <w:shd w:val="clear" w:color="auto" w:fill="auto"/>
          </w:tcPr>
          <w:p/>
        </w:tc>
        <w:tc>
          <w:tcPr>
            <w:tcW w:w="970" w:type="dxa"/>
            <w:shd w:val="clear" w:color="auto" w:fill="auto"/>
          </w:tcPr>
          <w:p>
            <w:pPr>
              <w:rPr>
                <w:rFonts w:hint="eastAsia" w:eastAsia="宋体"/>
                <w:lang w:eastAsia="zh-CN"/>
              </w:rPr>
            </w:pPr>
            <w:r>
              <w:rPr>
                <w:rFonts w:hint="eastAsia"/>
              </w:rPr>
              <w:t>EnMS</w:t>
            </w:r>
            <w:r>
              <w:rPr>
                <w:rFonts w:hint="eastAsia"/>
                <w:lang w:eastAsia="zh-CN"/>
              </w:rPr>
              <w:t>、</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1" locked="0" layoutInCell="1" allowOverlap="1">
                  <wp:simplePos x="0" y="0"/>
                  <wp:positionH relativeFrom="column">
                    <wp:posOffset>455295</wp:posOffset>
                  </wp:positionH>
                  <wp:positionV relativeFrom="paragraph">
                    <wp:posOffset>43180</wp:posOffset>
                  </wp:positionV>
                  <wp:extent cx="621665" cy="433705"/>
                  <wp:effectExtent l="0" t="0" r="635" b="10795"/>
                  <wp:wrapTight wrapText="bothSides">
                    <wp:wrapPolygon>
                      <wp:start x="0" y="0"/>
                      <wp:lineTo x="0" y="20873"/>
                      <wp:lineTo x="21181" y="20873"/>
                      <wp:lineTo x="21181" y="0"/>
                      <wp:lineTo x="0" y="0"/>
                    </wp:wrapPolygon>
                  </wp:wrapTight>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7">
                            <a:lum contrast="84000"/>
                          </a:blip>
                          <a:stretch>
                            <a:fillRect/>
                          </a:stretch>
                        </pic:blipFill>
                        <pic:spPr>
                          <a:xfrm>
                            <a:off x="0" y="0"/>
                            <a:ext cx="621665" cy="433705"/>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w:t>
            </w: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rPr>
                <w:rFonts w:hint="eastAsia" w:ascii="Times New Roman" w:hAnsi="Times New Roman" w:eastAsia="宋体" w:cs="Times New Roman"/>
                <w:u w:val="single"/>
                <w:lang w:eastAsia="zh-CN"/>
              </w:rPr>
            </w:pPr>
            <w:r>
              <w:rPr>
                <w:rFonts w:hint="eastAsia"/>
              </w:rPr>
              <w:t>最高管理者制定了文件化的管理体系方针：</w:t>
            </w:r>
            <w:r>
              <w:rPr>
                <w:rFonts w:hint="eastAsia" w:ascii="Times New Roman" w:hAnsi="Times New Roman" w:eastAsia="宋体" w:cs="Times New Roman"/>
                <w:u w:val="single"/>
              </w:rPr>
              <w:t>遵守法规</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清洁生产</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创新改造</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提高能效</w:t>
            </w:r>
            <w:r>
              <w:rPr>
                <w:rFonts w:hint="eastAsia" w:ascii="Times New Roman" w:hAnsi="Times New Roman" w:eastAsia="宋体" w:cs="Times New Roman"/>
                <w:u w:val="single"/>
                <w:lang w:eastAsia="zh-CN"/>
              </w:rPr>
              <w:t>；</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胡立蕆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ind w:firstLine="840" w:firstLineChars="400"/>
                    <w:rPr>
                      <w:rFonts w:hint="eastAsia" w:eastAsia="宋体"/>
                      <w:lang w:val="en-US" w:eastAsia="zh-CN"/>
                    </w:rPr>
                  </w:pPr>
                  <w:r>
                    <w:rPr>
                      <w:rFonts w:hint="eastAsia"/>
                      <w:lang w:val="en-US" w:eastAsia="zh-CN"/>
                    </w:rPr>
                    <w:t>停电</w:t>
                  </w:r>
                </w:p>
              </w:tc>
              <w:tc>
                <w:tcPr>
                  <w:tcW w:w="3965" w:type="dxa"/>
                </w:tcPr>
                <w:p>
                  <w:pPr>
                    <w:shd w:val="clear" w:color="auto" w:fill="EBF1DE" w:themeFill="accent3" w:themeFillTint="32"/>
                    <w:rPr>
                      <w:rFonts w:hint="default" w:eastAsia="宋体"/>
                      <w:lang w:val="en-US" w:eastAsia="zh-CN"/>
                    </w:rPr>
                  </w:pPr>
                  <w:r>
                    <w:rPr>
                      <w:rFonts w:hint="eastAsia"/>
                      <w:lang w:val="en-US" w:eastAsia="zh-CN"/>
                    </w:rPr>
                    <w:t>与供电公司签订供电协议、安装柴油发电机预防停电</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t>□能源评审报告编号/日期：</w:t>
            </w:r>
            <w:r>
              <w:rPr>
                <w:rFonts w:hint="eastAsia"/>
                <w:lang w:val="en-US" w:eastAsia="zh-CN"/>
              </w:rPr>
              <w:t>2021.12</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节能目标</w:t>
                  </w:r>
                </w:p>
              </w:tc>
              <w:tc>
                <w:tcPr>
                  <w:tcW w:w="3136"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控制措施</w:t>
                  </w:r>
                </w:p>
              </w:tc>
              <w:tc>
                <w:tcPr>
                  <w:tcW w:w="1350"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2020年目标：单位产品能耗≦34.21kgce/t，</w:t>
                  </w:r>
                </w:p>
                <w:p>
                  <w:pPr>
                    <w:shd w:val="clear" w:color="auto" w:fill="EBF1DE" w:themeFill="accent3" w:themeFillTint="32"/>
                    <w:rPr>
                      <w:rFonts w:hint="eastAsia" w:ascii="Times New Roman" w:hAnsi="Times New Roman" w:eastAsia="宋体" w:cs="Times New Roman"/>
                    </w:rPr>
                  </w:pP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加强用电管理，满负荷生产，避免无故停车。</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US" w:eastAsia="zh-CN"/>
                    </w:rPr>
                    <w:t>单位产品能耗44.78kgce/t，没有完成目标。</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38"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bookmarkStart w:id="34" w:name="_GoBack"/>
            <w:bookmarkEnd w:id="34"/>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rPr>
              <w:t>切菜机、切片绞肉机、</w:t>
            </w:r>
            <w:r>
              <w:rPr>
                <w:rFonts w:hint="eastAsia" w:ascii="Times New Roman" w:hAnsi="Times New Roman" w:eastAsia="宋体" w:cs="Times New Roman"/>
                <w:u w:val="single"/>
                <w:lang w:val="en-US" w:eastAsia="zh-CN"/>
              </w:rPr>
              <w:t>配料机机</w:t>
            </w:r>
            <w:r>
              <w:rPr>
                <w:rFonts w:hint="eastAsia" w:ascii="Times New Roman" w:hAnsi="Times New Roman" w:eastAsia="宋体" w:cs="Times New Roman"/>
                <w:u w:val="single"/>
              </w:rPr>
              <w:t>、</w:t>
            </w:r>
            <w:r>
              <w:rPr>
                <w:rFonts w:hint="eastAsia" w:ascii="Times New Roman" w:hAnsi="Times New Roman" w:eastAsia="宋体" w:cs="Times New Roman"/>
                <w:u w:val="single"/>
                <w:lang w:val="en-US" w:eastAsia="zh-CN"/>
              </w:rPr>
              <w:t>水饺机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水饺机、冷库制冷机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ascii="Times New Roman" w:hAnsi="Times New Roman" w:eastAsia="宋体" w:cs="Times New Roman"/>
                <w:u w:val="single"/>
                <w:lang w:val="en-US" w:eastAsia="zh-CN"/>
              </w:rPr>
              <w:t>水表、电表（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ascii="Times New Roman" w:hAnsi="Times New Roman" w:eastAsia="宋体" w:cs="Times New Roman"/>
                <w:u w:val="single"/>
                <w:lang w:val="en-US" w:eastAsia="zh-CN"/>
              </w:rPr>
              <w:t>水表有供水公司负责检定、电表由供电公司进行检定。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t>☑</w:t>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t>☑</w:t>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rPr>
                <w:rFonts w:hint="default"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u w:val="single"/>
                <w:lang w:val="en-US" w:eastAsia="zh-CN"/>
              </w:rPr>
              <w:t>今年来公司没有新的设计开发项目。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ascii="Times New Roman" w:hAnsi="Times New Roman" w:eastAsia="宋体" w:cs="Times New Roman"/>
                      <w:lang w:val="en-US" w:eastAsia="zh-CN"/>
                    </w:rPr>
                    <w:t>加强用电管理，满负荷生产，避免无故停车。</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98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657"/>
        <w:gridCol w:w="821"/>
        <w:gridCol w:w="821"/>
        <w:gridCol w:w="821"/>
        <w:gridCol w:w="821"/>
        <w:gridCol w:w="821"/>
        <w:gridCol w:w="821"/>
        <w:gridCol w:w="821"/>
        <w:gridCol w:w="821"/>
        <w:gridCol w:w="8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827"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21" w:type="dxa"/>
            <w:shd w:val="clear" w:color="auto" w:fill="EBF1DE" w:themeFill="accent3" w:themeFillTint="32"/>
            <w:vAlign w:val="center"/>
          </w:tcPr>
          <w:p>
            <w:pPr>
              <w:shd w:val="clear" w:color="auto" w:fill="EBF1DE" w:themeFill="accent3" w:themeFillTint="32"/>
            </w:pPr>
            <w:r>
              <w:rPr>
                <w:rFonts w:hint="eastAsia"/>
              </w:rPr>
              <w:t>7.2</w:t>
            </w:r>
          </w:p>
        </w:tc>
        <w:tc>
          <w:tcPr>
            <w:tcW w:w="821" w:type="dxa"/>
            <w:shd w:val="clear" w:color="auto" w:fill="EBF1DE" w:themeFill="accent3" w:themeFillTint="32"/>
            <w:vAlign w:val="center"/>
          </w:tcPr>
          <w:p>
            <w:pPr>
              <w:shd w:val="clear" w:color="auto" w:fill="EBF1DE" w:themeFill="accent3" w:themeFillTint="32"/>
            </w:pPr>
            <w:r>
              <w:rPr>
                <w:rFonts w:hint="eastAsia"/>
              </w:rPr>
              <w:t>7.3</w:t>
            </w:r>
          </w:p>
        </w:tc>
        <w:tc>
          <w:tcPr>
            <w:tcW w:w="821" w:type="dxa"/>
            <w:shd w:val="clear" w:color="auto" w:fill="EBF1DE" w:themeFill="accent3" w:themeFillTint="32"/>
            <w:vAlign w:val="center"/>
          </w:tcPr>
          <w:p>
            <w:pPr>
              <w:shd w:val="clear" w:color="auto" w:fill="EBF1DE" w:themeFill="accent3" w:themeFillTint="32"/>
            </w:pPr>
            <w:r>
              <w:rPr>
                <w:rFonts w:hint="eastAsia"/>
              </w:rPr>
              <w:t>7.4</w:t>
            </w:r>
          </w:p>
        </w:tc>
        <w:tc>
          <w:tcPr>
            <w:tcW w:w="821" w:type="dxa"/>
            <w:shd w:val="clear" w:color="auto" w:fill="EBF1DE" w:themeFill="accent3" w:themeFillTint="32"/>
            <w:vAlign w:val="center"/>
          </w:tcPr>
          <w:p>
            <w:pPr>
              <w:shd w:val="clear" w:color="auto" w:fill="EBF1DE" w:themeFill="accent3" w:themeFillTint="32"/>
            </w:pPr>
            <w:r>
              <w:rPr>
                <w:rFonts w:hint="eastAsia"/>
              </w:rPr>
              <w:t>7.5</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827"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1" w:type="dxa"/>
            <w:shd w:val="clear" w:color="auto" w:fill="EBF1DE" w:themeFill="accent3" w:themeFillTint="32"/>
            <w:vAlign w:val="center"/>
          </w:tcPr>
          <w:p>
            <w:pPr>
              <w:shd w:val="clear" w:color="auto" w:fill="EBF1DE" w:themeFill="accent3" w:themeFillTint="32"/>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1" w:type="dxa"/>
            <w:shd w:val="clear" w:color="auto" w:fill="EBF1DE" w:themeFill="accent3" w:themeFillTint="32"/>
            <w:vAlign w:val="center"/>
          </w:tcPr>
          <w:p>
            <w:pPr>
              <w:shd w:val="clear" w:color="auto" w:fill="EBF1DE" w:themeFill="accent3" w:themeFillTint="32"/>
            </w:pPr>
            <w:r>
              <w:rPr>
                <w:rFonts w:hint="eastAsia"/>
              </w:rPr>
              <w:t>8.3</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21"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1" w:type="dxa"/>
            <w:shd w:val="clear" w:color="auto" w:fill="EBF1DE" w:themeFill="accent3" w:themeFillTint="32"/>
            <w:vAlign w:val="center"/>
          </w:tcPr>
          <w:p>
            <w:pPr>
              <w:shd w:val="clear" w:color="auto" w:fill="EBF1DE" w:themeFill="accent3" w:themeFillTint="32"/>
              <w:rPr>
                <w:lang w:eastAsia="ja-JP"/>
              </w:rPr>
            </w:pPr>
          </w:p>
        </w:tc>
        <w:tc>
          <w:tcPr>
            <w:tcW w:w="827"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754BBA"/>
    <w:rsid w:val="4E4E3678"/>
    <w:rsid w:val="51864267"/>
    <w:rsid w:val="714B5894"/>
    <w:rsid w:val="722B4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ody Text"/>
    <w:basedOn w:val="1"/>
    <w:qFormat/>
    <w:uiPriority w:val="0"/>
    <w:rPr>
      <w:sz w:val="24"/>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5</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2021-12-24T07:13:32Z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