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李利芳</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胡立蕆</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周涛、李倩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12.15</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En:5.3/6.2/6.3/6.4/6.5/6.6/8.1/8.2/9.1.</w:t>
            </w:r>
            <w:r>
              <w:rPr>
                <w:rFonts w:hint="eastAsia" w:cs="Times New Roman"/>
                <w:bCs w:val="0"/>
                <w:spacing w:val="0"/>
                <w:kern w:val="2"/>
                <w:sz w:val="21"/>
                <w:szCs w:val="21"/>
                <w:lang w:val="en-US" w:eastAsia="zh-CN" w:bidi="ar-SA"/>
              </w:rPr>
              <w:t>2</w:t>
            </w:r>
            <w:r>
              <w:rPr>
                <w:rFonts w:hint="eastAsia" w:ascii="Times New Roman" w:hAnsi="Times New Roman" w:eastAsia="宋体" w:cs="Times New Roman"/>
                <w:bCs w:val="0"/>
                <w:spacing w:val="0"/>
                <w:kern w:val="2"/>
                <w:sz w:val="21"/>
                <w:szCs w:val="21"/>
                <w:lang w:val="en-US" w:eastAsia="zh-CN" w:bidi="ar-SA"/>
              </w:rPr>
              <w:t>/10.1/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rPr>
              <w:t>组织的岗位、</w:t>
            </w:r>
            <w:r>
              <w:rPr>
                <w:rFonts w:hint="eastAsia"/>
                <w:sz w:val="24"/>
                <w:szCs w:val="24"/>
                <w:lang w:val="en-US" w:eastAsia="zh-CN"/>
              </w:rPr>
              <w:t>职责权限</w:t>
            </w:r>
          </w:p>
        </w:tc>
        <w:tc>
          <w:tcPr>
            <w:tcW w:w="960" w:type="dxa"/>
          </w:tcPr>
          <w:p>
            <w:pPr>
              <w:rPr>
                <w:rFonts w:hint="default"/>
                <w:sz w:val="24"/>
                <w:szCs w:val="24"/>
                <w:lang w:val="en-US" w:eastAsia="zh-CN"/>
              </w:rPr>
            </w:pPr>
            <w:r>
              <w:rPr>
                <w:rFonts w:hint="eastAsia"/>
                <w:sz w:val="24"/>
                <w:szCs w:val="24"/>
                <w:lang w:val="en-US" w:eastAsia="zh-CN"/>
              </w:rPr>
              <w:t>En5.3</w:t>
            </w:r>
          </w:p>
        </w:tc>
        <w:tc>
          <w:tcPr>
            <w:tcW w:w="10852" w:type="dxa"/>
          </w:tcPr>
          <w:p>
            <w:pPr>
              <w:rPr>
                <w:rFonts w:hint="eastAsia"/>
                <w:sz w:val="24"/>
                <w:szCs w:val="24"/>
                <w:lang w:val="en-US" w:eastAsia="zh-CN"/>
              </w:rPr>
            </w:pPr>
            <w:r>
              <w:rPr>
                <w:rFonts w:hint="eastAsia"/>
                <w:sz w:val="24"/>
                <w:szCs w:val="24"/>
                <w:lang w:val="en-US" w:eastAsia="zh-CN"/>
              </w:rPr>
              <w:t>生产部设1个车间，包括碎菜工序、碎肉工序、配料工序、包饺子工序、冷冻室：。</w:t>
            </w:r>
          </w:p>
          <w:p>
            <w:pPr>
              <w:rPr>
                <w:rFonts w:hint="eastAsia"/>
                <w:sz w:val="24"/>
                <w:szCs w:val="24"/>
                <w:lang w:val="en-US" w:eastAsia="zh-CN"/>
              </w:rPr>
            </w:pPr>
            <w:r>
              <w:rPr>
                <w:rFonts w:hint="eastAsia"/>
                <w:sz w:val="24"/>
                <w:szCs w:val="24"/>
                <w:lang w:val="en-US" w:eastAsia="zh-CN"/>
              </w:rPr>
              <w:t>1、</w:t>
            </w:r>
            <w:r>
              <w:rPr>
                <w:rFonts w:hint="default"/>
                <w:sz w:val="24"/>
                <w:szCs w:val="24"/>
                <w:lang w:val="en-US" w:eastAsia="zh-CN"/>
              </w:rPr>
              <w:t>牵头负责</w:t>
            </w:r>
            <w:r>
              <w:rPr>
                <w:rFonts w:hint="eastAsia"/>
                <w:sz w:val="24"/>
                <w:szCs w:val="24"/>
                <w:lang w:val="en-US" w:eastAsia="zh-CN"/>
              </w:rPr>
              <w:t>能源</w:t>
            </w:r>
            <w:r>
              <w:rPr>
                <w:rFonts w:hint="default"/>
                <w:sz w:val="24"/>
                <w:szCs w:val="24"/>
                <w:lang w:val="en-US" w:eastAsia="zh-CN"/>
              </w:rPr>
              <w:t>体系：</w:t>
            </w:r>
          </w:p>
          <w:p>
            <w:pPr>
              <w:rPr>
                <w:rFonts w:hint="eastAsia"/>
                <w:sz w:val="24"/>
                <w:szCs w:val="24"/>
                <w:lang w:val="en-US" w:eastAsia="zh-CN"/>
              </w:rPr>
            </w:pPr>
            <w:r>
              <w:rPr>
                <w:rFonts w:hint="eastAsia"/>
                <w:sz w:val="24"/>
                <w:szCs w:val="24"/>
                <w:lang w:val="en-US" w:eastAsia="zh-CN"/>
              </w:rPr>
              <w:t>2、</w:t>
            </w:r>
            <w:r>
              <w:rPr>
                <w:rFonts w:hint="default"/>
                <w:sz w:val="24"/>
                <w:szCs w:val="24"/>
                <w:lang w:val="en-US" w:eastAsia="zh-CN"/>
              </w:rPr>
              <w:t>负责</w:t>
            </w:r>
            <w:r>
              <w:rPr>
                <w:rFonts w:hint="eastAsia"/>
                <w:sz w:val="24"/>
                <w:szCs w:val="24"/>
                <w:lang w:val="en-US" w:eastAsia="zh-CN"/>
              </w:rPr>
              <w:t>能源</w:t>
            </w:r>
            <w:r>
              <w:rPr>
                <w:rFonts w:hint="default"/>
                <w:sz w:val="24"/>
                <w:szCs w:val="24"/>
                <w:lang w:val="en-US" w:eastAsia="zh-CN"/>
              </w:rPr>
              <w:t>体系建立的初始评审、策划及运行的组织、协调、检查考核；</w:t>
            </w:r>
          </w:p>
          <w:p>
            <w:pPr>
              <w:rPr>
                <w:rFonts w:hint="default"/>
                <w:sz w:val="24"/>
                <w:szCs w:val="24"/>
                <w:lang w:val="en-US" w:eastAsia="zh-CN"/>
              </w:rPr>
            </w:pPr>
            <w:r>
              <w:rPr>
                <w:rFonts w:hint="eastAsia"/>
                <w:sz w:val="24"/>
                <w:szCs w:val="24"/>
                <w:lang w:val="en-US" w:eastAsia="zh-CN"/>
              </w:rPr>
              <w:t>3、</w:t>
            </w:r>
            <w:r>
              <w:rPr>
                <w:rFonts w:hint="default"/>
                <w:sz w:val="24"/>
                <w:szCs w:val="24"/>
                <w:lang w:val="en-US" w:eastAsia="zh-CN"/>
              </w:rPr>
              <w:t>负责对</w:t>
            </w:r>
            <w:r>
              <w:rPr>
                <w:rFonts w:hint="eastAsia"/>
                <w:sz w:val="24"/>
                <w:szCs w:val="24"/>
                <w:lang w:val="en-US" w:eastAsia="zh-CN"/>
              </w:rPr>
              <w:t>能源</w:t>
            </w:r>
            <w:r>
              <w:rPr>
                <w:rFonts w:hint="default"/>
                <w:sz w:val="24"/>
                <w:szCs w:val="24"/>
                <w:lang w:val="en-US" w:eastAsia="zh-CN"/>
              </w:rPr>
              <w:t>体系运行中出现问题的协调、解决，并对</w:t>
            </w:r>
            <w:r>
              <w:rPr>
                <w:rFonts w:hint="eastAsia"/>
                <w:sz w:val="24"/>
                <w:szCs w:val="24"/>
                <w:lang w:val="en-US" w:eastAsia="zh-CN"/>
              </w:rPr>
              <w:t>能源</w:t>
            </w:r>
            <w:r>
              <w:rPr>
                <w:rFonts w:hint="default"/>
                <w:sz w:val="24"/>
                <w:szCs w:val="24"/>
                <w:lang w:val="en-US" w:eastAsia="zh-CN"/>
              </w:rPr>
              <w:t>体系运行效果进行考核；</w:t>
            </w:r>
          </w:p>
          <w:p>
            <w:pPr>
              <w:rPr>
                <w:rFonts w:hint="eastAsia"/>
                <w:sz w:val="24"/>
                <w:szCs w:val="24"/>
                <w:lang w:val="en-US" w:eastAsia="zh-CN"/>
              </w:rPr>
            </w:pPr>
            <w:r>
              <w:rPr>
                <w:rFonts w:hint="eastAsia"/>
                <w:sz w:val="24"/>
                <w:szCs w:val="24"/>
                <w:lang w:val="en-US" w:eastAsia="zh-CN"/>
              </w:rPr>
              <w:t>4、</w:t>
            </w:r>
            <w:r>
              <w:rPr>
                <w:rFonts w:hint="default"/>
                <w:sz w:val="24"/>
                <w:szCs w:val="24"/>
                <w:lang w:val="en-US" w:eastAsia="zh-CN"/>
              </w:rPr>
              <w:t>负责与</w:t>
            </w:r>
            <w:r>
              <w:rPr>
                <w:rFonts w:hint="eastAsia"/>
                <w:sz w:val="24"/>
                <w:szCs w:val="24"/>
                <w:lang w:val="en-US" w:eastAsia="zh-CN"/>
              </w:rPr>
              <w:t>能源</w:t>
            </w:r>
            <w:r>
              <w:rPr>
                <w:rFonts w:hint="default"/>
                <w:sz w:val="24"/>
                <w:szCs w:val="24"/>
                <w:lang w:val="en-US" w:eastAsia="zh-CN"/>
              </w:rPr>
              <w:t>有关的检查、监测、不符合、纠正措施和预防措施；</w:t>
            </w:r>
          </w:p>
          <w:p>
            <w:pPr>
              <w:rPr>
                <w:rFonts w:hint="eastAsia"/>
                <w:sz w:val="24"/>
                <w:szCs w:val="24"/>
                <w:lang w:val="en-US" w:eastAsia="zh-CN"/>
              </w:rPr>
            </w:pPr>
            <w:r>
              <w:rPr>
                <w:rFonts w:hint="eastAsia"/>
                <w:sz w:val="24"/>
                <w:szCs w:val="24"/>
                <w:lang w:val="en-US" w:eastAsia="zh-CN"/>
              </w:rPr>
              <w:t>5、</w:t>
            </w:r>
            <w:r>
              <w:rPr>
                <w:rFonts w:hint="default"/>
                <w:sz w:val="24"/>
                <w:szCs w:val="24"/>
                <w:lang w:val="en-US" w:eastAsia="zh-CN"/>
              </w:rPr>
              <w:t>负责组织</w:t>
            </w:r>
            <w:r>
              <w:rPr>
                <w:rFonts w:hint="eastAsia"/>
                <w:sz w:val="24"/>
                <w:szCs w:val="24"/>
                <w:lang w:val="en-US" w:eastAsia="zh-CN"/>
              </w:rPr>
              <w:t>能源</w:t>
            </w:r>
            <w:r>
              <w:rPr>
                <w:rFonts w:hint="default"/>
                <w:sz w:val="24"/>
                <w:szCs w:val="24"/>
                <w:lang w:val="en-US" w:eastAsia="zh-CN"/>
              </w:rPr>
              <w:t>教育，宣传</w:t>
            </w:r>
            <w:r>
              <w:rPr>
                <w:rFonts w:hint="eastAsia"/>
                <w:sz w:val="24"/>
                <w:szCs w:val="24"/>
                <w:lang w:val="en-US" w:eastAsia="zh-CN"/>
              </w:rPr>
              <w:t>能源</w:t>
            </w:r>
            <w:r>
              <w:rPr>
                <w:rFonts w:hint="default"/>
                <w:sz w:val="24"/>
                <w:szCs w:val="24"/>
                <w:lang w:val="en-US" w:eastAsia="zh-CN"/>
              </w:rPr>
              <w:t>法律、法规；</w:t>
            </w:r>
          </w:p>
          <w:p>
            <w:pPr>
              <w:rPr>
                <w:rFonts w:hint="eastAsia"/>
                <w:sz w:val="24"/>
                <w:szCs w:val="24"/>
                <w:lang w:val="en-US" w:eastAsia="zh-CN"/>
              </w:rPr>
            </w:pPr>
            <w:r>
              <w:rPr>
                <w:rFonts w:hint="eastAsia"/>
                <w:sz w:val="24"/>
                <w:szCs w:val="24"/>
                <w:lang w:val="en-US" w:eastAsia="zh-CN"/>
              </w:rPr>
              <w:t>6、</w:t>
            </w:r>
            <w:r>
              <w:rPr>
                <w:rFonts w:hint="default"/>
                <w:sz w:val="24"/>
                <w:szCs w:val="24"/>
                <w:lang w:val="en-US" w:eastAsia="zh-CN"/>
              </w:rPr>
              <w:t>根据公司</w:t>
            </w:r>
            <w:r>
              <w:rPr>
                <w:rFonts w:hint="eastAsia"/>
                <w:sz w:val="24"/>
                <w:szCs w:val="24"/>
                <w:lang w:val="en-US" w:eastAsia="zh-CN"/>
              </w:rPr>
              <w:t>能源</w:t>
            </w:r>
            <w:r>
              <w:rPr>
                <w:rFonts w:hint="default"/>
                <w:sz w:val="24"/>
                <w:szCs w:val="24"/>
                <w:lang w:val="en-US" w:eastAsia="zh-CN"/>
              </w:rPr>
              <w:t>管理要求，提报所需设备、设施新增及改造、更新计划；</w:t>
            </w:r>
          </w:p>
          <w:p>
            <w:pPr>
              <w:rPr>
                <w:rFonts w:hint="eastAsia"/>
                <w:sz w:val="24"/>
                <w:szCs w:val="24"/>
                <w:lang w:val="en-US" w:eastAsia="zh-CN"/>
              </w:rPr>
            </w:pPr>
            <w:r>
              <w:rPr>
                <w:rFonts w:hint="eastAsia"/>
                <w:sz w:val="24"/>
                <w:szCs w:val="24"/>
                <w:lang w:val="en-US" w:eastAsia="zh-CN"/>
              </w:rPr>
              <w:t>7、</w:t>
            </w:r>
            <w:r>
              <w:rPr>
                <w:rFonts w:hint="default"/>
                <w:sz w:val="24"/>
                <w:szCs w:val="24"/>
                <w:lang w:val="en-US" w:eastAsia="zh-CN"/>
              </w:rPr>
              <w:t>负责</w:t>
            </w:r>
            <w:r>
              <w:rPr>
                <w:rFonts w:hint="eastAsia"/>
                <w:sz w:val="24"/>
                <w:szCs w:val="24"/>
                <w:lang w:val="en-US" w:eastAsia="zh-CN"/>
              </w:rPr>
              <w:t>能源</w:t>
            </w:r>
            <w:r>
              <w:rPr>
                <w:rFonts w:hint="default"/>
                <w:sz w:val="24"/>
                <w:szCs w:val="24"/>
                <w:lang w:val="en-US" w:eastAsia="zh-CN"/>
              </w:rPr>
              <w:t>事故的分析、处理；负责</w:t>
            </w:r>
            <w:r>
              <w:rPr>
                <w:rFonts w:hint="eastAsia"/>
                <w:sz w:val="24"/>
                <w:szCs w:val="24"/>
                <w:lang w:val="en-US" w:eastAsia="zh-CN"/>
              </w:rPr>
              <w:t>能源</w:t>
            </w:r>
            <w:r>
              <w:rPr>
                <w:rFonts w:hint="default"/>
                <w:sz w:val="24"/>
                <w:szCs w:val="24"/>
                <w:lang w:val="en-US" w:eastAsia="zh-CN"/>
              </w:rPr>
              <w:t>隐患排查、治理等。</w:t>
            </w:r>
          </w:p>
          <w:p>
            <w:pPr>
              <w:rPr>
                <w:rFonts w:hint="default"/>
                <w:sz w:val="24"/>
                <w:szCs w:val="24"/>
                <w:lang w:val="en-US" w:eastAsia="zh-CN"/>
              </w:rPr>
            </w:pPr>
            <w:r>
              <w:rPr>
                <w:rFonts w:hint="eastAsia"/>
                <w:sz w:val="24"/>
                <w:szCs w:val="24"/>
                <w:lang w:val="en-US" w:eastAsia="zh-CN"/>
              </w:rPr>
              <w:t>经理对职责基本明确清晰。</w:t>
            </w:r>
          </w:p>
        </w:tc>
        <w:tc>
          <w:tcPr>
            <w:tcW w:w="737" w:type="dxa"/>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default"/>
                <w:sz w:val="24"/>
                <w:szCs w:val="24"/>
                <w:lang w:val="en-US" w:eastAsia="zh-CN"/>
              </w:rPr>
            </w:pPr>
            <w:r>
              <w:rPr>
                <w:rFonts w:hint="eastAsia"/>
                <w:sz w:val="24"/>
                <w:szCs w:val="24"/>
                <w:lang w:val="en-US" w:eastAsia="zh-CN"/>
              </w:rPr>
              <w:t>能源目标\</w:t>
            </w:r>
            <w:r>
              <w:rPr>
                <w:rFonts w:hint="eastAsia"/>
                <w:sz w:val="24"/>
                <w:szCs w:val="24"/>
              </w:rPr>
              <w:t>能源指及其实现的策划</w:t>
            </w:r>
          </w:p>
        </w:tc>
        <w:tc>
          <w:tcPr>
            <w:tcW w:w="960" w:type="dxa"/>
          </w:tcPr>
          <w:p>
            <w:pPr>
              <w:rPr>
                <w:rFonts w:hint="default"/>
                <w:sz w:val="24"/>
                <w:szCs w:val="24"/>
                <w:lang w:val="en-US" w:eastAsia="zh-CN"/>
              </w:rPr>
            </w:pPr>
            <w:r>
              <w:rPr>
                <w:rFonts w:hint="eastAsia"/>
                <w:sz w:val="24"/>
                <w:szCs w:val="24"/>
                <w:lang w:val="en-US" w:eastAsia="zh-CN"/>
              </w:rPr>
              <w:t>En6.2</w:t>
            </w:r>
          </w:p>
        </w:tc>
        <w:tc>
          <w:tcPr>
            <w:tcW w:w="10852" w:type="dxa"/>
          </w:tcPr>
          <w:p>
            <w:pPr>
              <w:pStyle w:val="12"/>
              <w:ind w:left="0" w:leftChars="0" w:firstLine="0" w:firstLineChars="0"/>
              <w:rPr>
                <w:rFonts w:hint="eastAsia"/>
                <w:lang w:val="en-US" w:eastAsia="zh-CN"/>
              </w:rPr>
            </w:pPr>
            <w:r>
              <w:rPr>
                <w:rFonts w:hint="eastAsia"/>
                <w:lang w:val="en-US" w:eastAsia="zh-CN"/>
              </w:rPr>
              <w:t>2020年目标：单位产品能耗≦34.21kgce/t，2020年实际完成情况：单位产品能耗44.78kgce/t，没有完成目标。</w:t>
            </w:r>
          </w:p>
          <w:p>
            <w:pPr>
              <w:pStyle w:val="12"/>
              <w:ind w:left="0" w:leftChars="0" w:firstLine="0" w:firstLineChars="0"/>
              <w:rPr>
                <w:rFonts w:hint="eastAsia"/>
                <w:lang w:val="en-US" w:eastAsia="zh-CN"/>
              </w:rPr>
            </w:pPr>
          </w:p>
          <w:p>
            <w:pPr>
              <w:pStyle w:val="12"/>
              <w:ind w:left="0" w:leftChars="0" w:firstLine="0" w:firstLineChars="0"/>
              <w:rPr>
                <w:rFonts w:hint="default"/>
                <w:lang w:val="en-US" w:eastAsia="zh-CN"/>
              </w:rPr>
            </w:pPr>
            <w:r>
              <w:rPr>
                <w:rFonts w:hint="default"/>
                <w:lang w:val="en-US" w:eastAsia="zh-CN"/>
              </w:rPr>
              <w:t>2021年目标：单位产品能耗≦44.78kgce/t，2021年1-11月实际完成情况：单位产品能耗43.21kgce/t，完成目标。</w:t>
            </w:r>
          </w:p>
        </w:tc>
        <w:tc>
          <w:tcPr>
            <w:tcW w:w="737" w:type="dxa"/>
            <w:vAlign w:val="top"/>
          </w:tcPr>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lang w:val="en-US" w:eastAsia="zh-CN"/>
              </w:rPr>
              <w:t>能源评审</w:t>
            </w:r>
          </w:p>
        </w:tc>
        <w:tc>
          <w:tcPr>
            <w:tcW w:w="960" w:type="dxa"/>
          </w:tcPr>
          <w:p>
            <w:pPr>
              <w:rPr>
                <w:rFonts w:hint="default"/>
                <w:sz w:val="24"/>
                <w:szCs w:val="24"/>
                <w:lang w:val="en-US" w:eastAsia="zh-CN"/>
              </w:rPr>
            </w:pPr>
            <w:r>
              <w:rPr>
                <w:rFonts w:hint="eastAsia"/>
                <w:sz w:val="24"/>
                <w:szCs w:val="24"/>
                <w:lang w:val="en-US" w:eastAsia="zh-CN"/>
              </w:rPr>
              <w:t>En6.3</w:t>
            </w:r>
          </w:p>
        </w:tc>
        <w:tc>
          <w:tcPr>
            <w:tcW w:w="10852" w:type="dxa"/>
          </w:tcPr>
          <w:p>
            <w:pPr>
              <w:rPr>
                <w:rFonts w:hint="eastAsia"/>
                <w:sz w:val="24"/>
                <w:szCs w:val="24"/>
                <w:lang w:val="en-US" w:eastAsia="zh-CN"/>
              </w:rPr>
            </w:pPr>
            <w:r>
              <w:rPr>
                <w:rFonts w:hint="eastAsia"/>
                <w:sz w:val="24"/>
                <w:szCs w:val="24"/>
                <w:lang w:val="en-US" w:eastAsia="zh-CN"/>
              </w:rPr>
              <w:t>提供：“江苏美润食品有限公司能源评审报告”2021年1月10；内容包括：</w:t>
            </w:r>
          </w:p>
          <w:p>
            <w:pPr>
              <w:rPr>
                <w:rFonts w:hint="eastAsia"/>
                <w:sz w:val="24"/>
                <w:szCs w:val="24"/>
                <w:lang w:val="en-US" w:eastAsia="zh-CN"/>
              </w:rPr>
            </w:pPr>
            <w:r>
              <w:rPr>
                <w:rFonts w:hint="eastAsia"/>
                <w:sz w:val="24"/>
                <w:szCs w:val="24"/>
                <w:lang w:val="en-US" w:eastAsia="zh-CN"/>
              </w:rPr>
              <w:t>能源评审基础信息（目的和范围和边界、评审期、公司能源使用基本情况、淘汰能耗落后工艺、设备概况等）;  公司管理体系覆盖范围包括：生制品（冷冻水饺）加工所涉及的能源管理的能源购入、能源转换、能源分配传输和能源使用活动。</w:t>
            </w:r>
          </w:p>
          <w:p>
            <w:pPr>
              <w:rPr>
                <w:rFonts w:hint="eastAsia"/>
                <w:sz w:val="24"/>
                <w:szCs w:val="24"/>
                <w:lang w:val="en-US" w:eastAsia="zh-CN"/>
              </w:rPr>
            </w:pPr>
            <w:r>
              <w:rPr>
                <w:rFonts w:hint="eastAsia"/>
                <w:sz w:val="24"/>
                <w:szCs w:val="24"/>
                <w:lang w:val="en-US" w:eastAsia="zh-CN"/>
              </w:rPr>
              <w:t>评审期：2020年1月1日～2020年12月31日。</w:t>
            </w:r>
          </w:p>
          <w:p>
            <w:pPr>
              <w:rPr>
                <w:rFonts w:hint="eastAsia"/>
                <w:sz w:val="24"/>
                <w:szCs w:val="24"/>
                <w:lang w:val="en-US" w:eastAsia="zh-CN"/>
              </w:rPr>
            </w:pPr>
            <w:r>
              <w:rPr>
                <w:rFonts w:hint="eastAsia"/>
                <w:sz w:val="24"/>
                <w:szCs w:val="24"/>
                <w:lang w:val="en-US" w:eastAsia="zh-CN"/>
              </w:rPr>
              <w:t>基准期：2019年6月1日～2019年12月31日生产周期内平均值</w:t>
            </w:r>
          </w:p>
          <w:p>
            <w:pPr>
              <w:rPr>
                <w:rFonts w:hint="default"/>
                <w:sz w:val="24"/>
                <w:szCs w:val="24"/>
                <w:lang w:val="en-US" w:eastAsia="zh-CN"/>
              </w:rPr>
            </w:pPr>
            <w:r>
              <w:rPr>
                <w:rFonts w:hint="eastAsia"/>
                <w:sz w:val="24"/>
                <w:szCs w:val="24"/>
                <w:lang w:val="en-US" w:eastAsia="zh-CN"/>
              </w:rPr>
              <w:t>能源管理状况评审（能源方针目标、能源管理组织及职责、能源管理制度、能源管理、能源计量、能源统计管理、能源定额管理、2019年6-12月份生产和节能技改项目等）；</w:t>
            </w:r>
          </w:p>
          <w:p>
            <w:pPr>
              <w:rPr>
                <w:rFonts w:hint="default"/>
                <w:sz w:val="24"/>
                <w:szCs w:val="24"/>
                <w:lang w:val="en-US" w:eastAsia="zh-CN"/>
              </w:rPr>
            </w:pPr>
            <w:r>
              <w:rPr>
                <w:rFonts w:hint="eastAsia"/>
                <w:sz w:val="24"/>
                <w:szCs w:val="24"/>
                <w:lang w:val="en-US" w:eastAsia="zh-CN"/>
              </w:rPr>
              <w:t>能源利用状况评审（能源消耗结构分析、用能设备能耗分析等）；</w:t>
            </w:r>
          </w:p>
          <w:p>
            <w:pPr>
              <w:rPr>
                <w:rFonts w:hint="default"/>
                <w:sz w:val="24"/>
                <w:szCs w:val="24"/>
                <w:lang w:val="en-US" w:eastAsia="zh-CN"/>
              </w:rPr>
            </w:pPr>
            <w:r>
              <w:rPr>
                <w:rFonts w:hint="eastAsia"/>
                <w:sz w:val="24"/>
                <w:szCs w:val="24"/>
                <w:lang w:val="en-US" w:eastAsia="zh-CN"/>
              </w:rPr>
              <w:t>节能潜力分析和能源绩效优先改进机会识别（管理改进方法、项目改进方法）；</w:t>
            </w:r>
          </w:p>
          <w:p>
            <w:pPr>
              <w:rPr>
                <w:rFonts w:hint="default"/>
                <w:sz w:val="24"/>
                <w:szCs w:val="24"/>
                <w:lang w:val="en-US" w:eastAsia="zh-CN"/>
              </w:rPr>
            </w:pPr>
            <w:r>
              <w:rPr>
                <w:rFonts w:hint="eastAsia"/>
                <w:sz w:val="24"/>
                <w:szCs w:val="24"/>
                <w:lang w:val="en-US" w:eastAsia="zh-CN"/>
              </w:rPr>
              <w:t>未来能源的消耗分析；</w:t>
            </w:r>
          </w:p>
          <w:p>
            <w:pPr>
              <w:rPr>
                <w:rFonts w:hint="default"/>
                <w:sz w:val="24"/>
                <w:szCs w:val="24"/>
                <w:lang w:val="en-US" w:eastAsia="zh-CN"/>
              </w:rPr>
            </w:pPr>
            <w:r>
              <w:rPr>
                <w:rFonts w:hint="eastAsia"/>
                <w:sz w:val="24"/>
                <w:szCs w:val="24"/>
                <w:lang w:val="en-US" w:eastAsia="zh-CN"/>
              </w:rPr>
              <w:t>能源评审输出（能源绩效参数、能源基准和能源目标指标、影响主要能源使用的相关变量和参数控制）；能源评审报告中未具体描述影响电力使用（主要能源使用）的相关变量——问题项</w:t>
            </w:r>
          </w:p>
          <w:p>
            <w:pPr>
              <w:rPr>
                <w:rFonts w:hint="default"/>
                <w:sz w:val="24"/>
                <w:szCs w:val="24"/>
                <w:lang w:val="en-US" w:eastAsia="zh-CN"/>
              </w:rPr>
            </w:pPr>
            <w:r>
              <w:rPr>
                <w:rFonts w:hint="eastAsia"/>
                <w:sz w:val="24"/>
                <w:szCs w:val="24"/>
                <w:lang w:val="en-US" w:eastAsia="zh-CN"/>
              </w:rPr>
              <w:t>结论和建议（总体评价、建议）</w:t>
            </w:r>
          </w:p>
          <w:p>
            <w:pPr>
              <w:rPr>
                <w:rFonts w:hint="default"/>
                <w:sz w:val="24"/>
                <w:szCs w:val="24"/>
                <w:lang w:val="en-US" w:eastAsia="zh-CN"/>
              </w:rPr>
            </w:pPr>
            <w:r>
              <w:rPr>
                <w:rFonts w:hint="eastAsia"/>
                <w:sz w:val="24"/>
                <w:szCs w:val="24"/>
                <w:lang w:val="en-US" w:eastAsia="zh-CN"/>
              </w:rPr>
              <w:t>以上内容基本满足标准要求。</w:t>
            </w:r>
          </w:p>
        </w:tc>
        <w:tc>
          <w:tcPr>
            <w:tcW w:w="737" w:type="dxa"/>
          </w:tcPr>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能源绩效参数、能源基准的确定</w:t>
            </w:r>
          </w:p>
        </w:tc>
        <w:tc>
          <w:tcPr>
            <w:tcW w:w="960" w:type="dxa"/>
          </w:tcPr>
          <w:p>
            <w:pPr>
              <w:rPr>
                <w:rFonts w:hint="eastAsia"/>
                <w:sz w:val="24"/>
                <w:szCs w:val="24"/>
                <w:lang w:val="en-US" w:eastAsia="zh-CN"/>
              </w:rPr>
            </w:pPr>
            <w:r>
              <w:rPr>
                <w:rFonts w:hint="eastAsia"/>
                <w:sz w:val="24"/>
                <w:szCs w:val="24"/>
                <w:lang w:val="en-US" w:eastAsia="zh-CN"/>
              </w:rPr>
              <w:t>En6.4/</w:t>
            </w:r>
          </w:p>
          <w:p>
            <w:pPr>
              <w:rPr>
                <w:rFonts w:hint="default"/>
                <w:sz w:val="24"/>
                <w:szCs w:val="24"/>
                <w:lang w:val="en-US" w:eastAsia="zh-CN"/>
              </w:rPr>
            </w:pPr>
            <w:r>
              <w:rPr>
                <w:rFonts w:hint="eastAsia"/>
                <w:sz w:val="24"/>
                <w:szCs w:val="24"/>
                <w:lang w:val="en-US" w:eastAsia="zh-CN"/>
              </w:rPr>
              <w:t>6.5</w:t>
            </w:r>
          </w:p>
        </w:tc>
        <w:tc>
          <w:tcPr>
            <w:tcW w:w="10852" w:type="dxa"/>
          </w:tcPr>
          <w:p>
            <w:pPr>
              <w:rPr>
                <w:rFonts w:hint="eastAsia"/>
                <w:sz w:val="24"/>
                <w:szCs w:val="24"/>
                <w:lang w:val="en-US" w:eastAsia="zh-CN"/>
              </w:rPr>
            </w:pPr>
            <w:r>
              <w:rPr>
                <w:rFonts w:hint="eastAsia"/>
                <w:sz w:val="24"/>
                <w:szCs w:val="24"/>
                <w:lang w:val="en-US" w:eastAsia="zh-CN"/>
              </w:rPr>
              <w:t>该企业根据2019年、2020年的生产经营情况进行分析，认为2019年和2020年因受市场原因和新冠疫情的影响，企业的生产经营活动处于波动状态，能源消耗不稳定，通过对2021年市场分析和企业的生产规模及与客户的沟通确定2021年的生产规模和能源绩效参数及能源基准和目标</w:t>
            </w:r>
          </w:p>
          <w:p>
            <w:pPr>
              <w:rPr>
                <w:rFonts w:hint="default"/>
                <w:sz w:val="24"/>
                <w:szCs w:val="24"/>
                <w:lang w:val="en-US" w:eastAsia="zh-CN"/>
              </w:rPr>
            </w:pPr>
            <w:r>
              <w:rPr>
                <w:rFonts w:hint="eastAsia"/>
                <w:sz w:val="24"/>
                <w:szCs w:val="24"/>
                <w:lang w:val="en-US" w:eastAsia="zh-CN"/>
              </w:rPr>
              <w:t>根据能源消耗分析可知，公司的电力消耗是企业主要能源使用，占比98.43%；水占比1.57%，主要是制冷机、空压机、切菜机、混料机、包饺机、包装机；水占比很低，可以忽略不计。</w:t>
            </w:r>
          </w:p>
          <w:p>
            <w:pPr>
              <w:rPr>
                <w:rFonts w:hint="eastAsia"/>
                <w:sz w:val="24"/>
                <w:szCs w:val="24"/>
                <w:lang w:val="en-US" w:eastAsia="zh-CN"/>
              </w:rPr>
            </w:pPr>
            <w:r>
              <w:rPr>
                <w:rFonts w:hint="eastAsia"/>
                <w:sz w:val="24"/>
                <w:szCs w:val="24"/>
                <w:lang w:val="en-US" w:eastAsia="zh-CN"/>
              </w:rPr>
              <w:t>因此企业制定的能源绩效参数为：综合能耗总量（kgce）和单位产品能耗（kgce/t）</w:t>
            </w:r>
          </w:p>
          <w:p>
            <w:pPr>
              <w:rPr>
                <w:rFonts w:hint="eastAsia"/>
                <w:sz w:val="24"/>
                <w:szCs w:val="24"/>
                <w:lang w:val="en-US" w:eastAsia="zh-CN"/>
              </w:rPr>
            </w:pPr>
            <w:r>
              <w:rPr>
                <w:rFonts w:hint="eastAsia"/>
                <w:sz w:val="24"/>
                <w:szCs w:val="24"/>
                <w:lang w:val="en-US" w:eastAsia="zh-CN"/>
              </w:rPr>
              <w:t>能源基准以上年度实际发生值为基准。</w:t>
            </w:r>
          </w:p>
          <w:p>
            <w:pPr>
              <w:rPr>
                <w:rFonts w:hint="eastAsia"/>
                <w:sz w:val="24"/>
                <w:szCs w:val="24"/>
                <w:lang w:val="en-US" w:eastAsia="zh-CN"/>
              </w:rPr>
            </w:pPr>
            <w:r>
              <w:rPr>
                <w:rFonts w:hint="eastAsia"/>
                <w:sz w:val="24"/>
                <w:szCs w:val="24"/>
                <w:lang w:val="en-US" w:eastAsia="zh-CN"/>
              </w:rPr>
              <w:t>根据能源评审报告分析：2020年江苏美润食品有限公司的能源绩效参数和能源基准确定如下;</w:t>
            </w:r>
          </w:p>
          <w:tbl>
            <w:tblPr>
              <w:tblStyle w:val="13"/>
              <w:tblW w:w="47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1990"/>
              <w:gridCol w:w="2263"/>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59" w:type="pct"/>
                  <w:tcBorders>
                    <w:top w:val="double" w:color="auto" w:sz="4" w:space="0"/>
                    <w:left w:val="double" w:color="auto" w:sz="4" w:space="0"/>
                  </w:tcBorders>
                  <w:noWrap/>
                  <w:vAlign w:val="center"/>
                </w:tcPr>
                <w:p>
                  <w:pPr>
                    <w:rPr>
                      <w:rFonts w:hint="eastAsia"/>
                      <w:sz w:val="24"/>
                      <w:szCs w:val="24"/>
                      <w:lang w:val="en-US" w:eastAsia="zh-CN"/>
                    </w:rPr>
                  </w:pPr>
                  <w:r>
                    <w:rPr>
                      <w:rFonts w:hint="eastAsia"/>
                      <w:sz w:val="24"/>
                      <w:szCs w:val="24"/>
                      <w:lang w:val="en-US" w:eastAsia="zh-CN"/>
                    </w:rPr>
                    <w:t>项  目</w:t>
                  </w:r>
                </w:p>
              </w:tc>
              <w:tc>
                <w:tcPr>
                  <w:tcW w:w="983" w:type="pct"/>
                  <w:tcBorders>
                    <w:top w:val="double" w:color="auto" w:sz="4" w:space="0"/>
                  </w:tcBorders>
                  <w:noWrap w:val="0"/>
                  <w:vAlign w:val="center"/>
                </w:tcPr>
                <w:p>
                  <w:pPr>
                    <w:ind w:firstLine="240" w:firstLineChars="100"/>
                    <w:rPr>
                      <w:rFonts w:hint="eastAsia"/>
                      <w:sz w:val="24"/>
                      <w:szCs w:val="24"/>
                      <w:lang w:val="en-US" w:eastAsia="zh-CN"/>
                    </w:rPr>
                  </w:pPr>
                  <w:r>
                    <w:rPr>
                      <w:rFonts w:hint="eastAsia"/>
                      <w:sz w:val="24"/>
                      <w:szCs w:val="24"/>
                      <w:lang w:val="en-US" w:eastAsia="zh-CN"/>
                    </w:rPr>
                    <w:t>产品生产量</w:t>
                  </w:r>
                </w:p>
              </w:tc>
              <w:tc>
                <w:tcPr>
                  <w:tcW w:w="1118" w:type="pct"/>
                  <w:tcBorders>
                    <w:top w:val="double" w:color="auto" w:sz="4" w:space="0"/>
                  </w:tcBorders>
                  <w:noWrap w:val="0"/>
                  <w:vAlign w:val="center"/>
                </w:tcPr>
                <w:p>
                  <w:pPr>
                    <w:ind w:firstLine="480" w:firstLineChars="200"/>
                    <w:rPr>
                      <w:rFonts w:hint="eastAsia"/>
                      <w:sz w:val="24"/>
                      <w:szCs w:val="24"/>
                      <w:lang w:val="en-US" w:eastAsia="zh-CN"/>
                    </w:rPr>
                  </w:pPr>
                  <w:r>
                    <w:rPr>
                      <w:rFonts w:hint="eastAsia"/>
                      <w:sz w:val="24"/>
                      <w:szCs w:val="24"/>
                      <w:lang w:val="en-US" w:eastAsia="zh-CN"/>
                    </w:rPr>
                    <w:t>综合能耗</w:t>
                  </w:r>
                </w:p>
              </w:tc>
              <w:tc>
                <w:tcPr>
                  <w:tcW w:w="1738" w:type="pct"/>
                  <w:tcBorders>
                    <w:top w:val="double" w:color="auto" w:sz="4" w:space="0"/>
                  </w:tcBorders>
                  <w:noWrap w:val="0"/>
                  <w:vAlign w:val="center"/>
                </w:tcPr>
                <w:p>
                  <w:pPr>
                    <w:rPr>
                      <w:rFonts w:hint="eastAsia"/>
                      <w:sz w:val="24"/>
                      <w:szCs w:val="24"/>
                      <w:lang w:val="en-US" w:eastAsia="zh-CN"/>
                    </w:rPr>
                  </w:pPr>
                  <w:r>
                    <w:rPr>
                      <w:rFonts w:hint="eastAsia"/>
                      <w:sz w:val="24"/>
                      <w:szCs w:val="24"/>
                      <w:lang w:val="en-US" w:eastAsia="zh-CN"/>
                    </w:rPr>
                    <w:t>单位产品单位综合能耗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59" w:type="pct"/>
                  <w:tcBorders>
                    <w:left w:val="double" w:color="auto" w:sz="4" w:space="0"/>
                  </w:tcBorders>
                  <w:noWrap/>
                  <w:vAlign w:val="center"/>
                </w:tcPr>
                <w:p>
                  <w:pPr>
                    <w:rPr>
                      <w:rFonts w:hint="eastAsia"/>
                      <w:sz w:val="24"/>
                      <w:szCs w:val="24"/>
                      <w:lang w:val="en-US" w:eastAsia="zh-CN"/>
                    </w:rPr>
                  </w:pPr>
                  <w:r>
                    <w:rPr>
                      <w:rFonts w:hint="eastAsia"/>
                      <w:sz w:val="24"/>
                      <w:szCs w:val="24"/>
                      <w:lang w:val="en-US" w:eastAsia="zh-CN"/>
                    </w:rPr>
                    <w:t>单  位</w:t>
                  </w:r>
                </w:p>
              </w:tc>
              <w:tc>
                <w:tcPr>
                  <w:tcW w:w="983" w:type="pct"/>
                  <w:noWrap w:val="0"/>
                  <w:vAlign w:val="center"/>
                </w:tcPr>
                <w:p>
                  <w:pPr>
                    <w:ind w:firstLine="720" w:firstLineChars="300"/>
                    <w:rPr>
                      <w:rFonts w:hint="eastAsia"/>
                      <w:sz w:val="24"/>
                      <w:szCs w:val="24"/>
                      <w:lang w:val="en-US" w:eastAsia="zh-CN"/>
                    </w:rPr>
                  </w:pPr>
                  <w:r>
                    <w:rPr>
                      <w:rFonts w:hint="eastAsia"/>
                      <w:sz w:val="24"/>
                      <w:szCs w:val="24"/>
                      <w:lang w:val="en-US" w:eastAsia="zh-CN"/>
                    </w:rPr>
                    <w:t>t</w:t>
                  </w:r>
                </w:p>
              </w:tc>
              <w:tc>
                <w:tcPr>
                  <w:tcW w:w="1118" w:type="pct"/>
                  <w:noWrap w:val="0"/>
                  <w:vAlign w:val="center"/>
                </w:tcPr>
                <w:p>
                  <w:pPr>
                    <w:ind w:firstLine="240" w:firstLineChars="100"/>
                    <w:rPr>
                      <w:rFonts w:hint="eastAsia"/>
                      <w:sz w:val="24"/>
                      <w:szCs w:val="24"/>
                      <w:lang w:val="en-US" w:eastAsia="zh-CN"/>
                    </w:rPr>
                  </w:pPr>
                  <w:r>
                    <w:rPr>
                      <w:rFonts w:hint="eastAsia"/>
                      <w:sz w:val="24"/>
                      <w:szCs w:val="24"/>
                      <w:lang w:val="en-US" w:eastAsia="zh-CN"/>
                    </w:rPr>
                    <w:t>Kgce</w:t>
                  </w:r>
                </w:p>
              </w:tc>
              <w:tc>
                <w:tcPr>
                  <w:tcW w:w="1738" w:type="pct"/>
                  <w:noWrap w:val="0"/>
                  <w:vAlign w:val="center"/>
                </w:tcPr>
                <w:p>
                  <w:pPr>
                    <w:ind w:firstLine="960" w:firstLineChars="400"/>
                    <w:rPr>
                      <w:rFonts w:hint="default"/>
                      <w:sz w:val="24"/>
                      <w:szCs w:val="24"/>
                      <w:lang w:val="en-US" w:eastAsia="zh-CN"/>
                    </w:rPr>
                  </w:pPr>
                  <w:r>
                    <w:rPr>
                      <w:rFonts w:hint="eastAsia"/>
                      <w:sz w:val="24"/>
                      <w:szCs w:val="24"/>
                      <w:lang w:val="en-US" w:eastAsia="zh-CN"/>
                    </w:rPr>
                    <w:t>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9" w:type="pct"/>
                  <w:tcBorders>
                    <w:left w:val="double" w:color="auto" w:sz="4" w:space="0"/>
                  </w:tcBorders>
                  <w:noWrap/>
                  <w:vAlign w:val="center"/>
                </w:tcPr>
                <w:p>
                  <w:pPr>
                    <w:rPr>
                      <w:rFonts w:hint="default"/>
                      <w:lang w:val="en-US" w:eastAsia="zh-CN"/>
                    </w:rPr>
                  </w:pPr>
                  <w:r>
                    <w:rPr>
                      <w:rFonts w:hint="eastAsia"/>
                      <w:lang w:val="en-US" w:eastAsia="zh-CN"/>
                    </w:rPr>
                    <w:t>2020年目标（以2019年的单耗为基准）</w:t>
                  </w:r>
                </w:p>
              </w:tc>
              <w:tc>
                <w:tcPr>
                  <w:tcW w:w="983" w:type="pct"/>
                  <w:noWrap w:val="0"/>
                  <w:vAlign w:val="bottom"/>
                </w:tcPr>
                <w:p>
                  <w:pPr>
                    <w:ind w:firstLine="480" w:firstLineChars="200"/>
                    <w:rPr>
                      <w:rFonts w:hint="default"/>
                      <w:sz w:val="24"/>
                      <w:szCs w:val="24"/>
                      <w:lang w:val="en-US" w:eastAsia="zh-CN"/>
                    </w:rPr>
                  </w:pPr>
                  <w:r>
                    <w:rPr>
                      <w:rFonts w:hint="eastAsia"/>
                      <w:sz w:val="24"/>
                      <w:szCs w:val="24"/>
                      <w:lang w:val="en-US" w:eastAsia="zh-CN"/>
                    </w:rPr>
                    <w:t>4800</w:t>
                  </w:r>
                </w:p>
              </w:tc>
              <w:tc>
                <w:tcPr>
                  <w:tcW w:w="1118" w:type="pct"/>
                  <w:noWrap w:val="0"/>
                  <w:vAlign w:val="bottom"/>
                </w:tcPr>
                <w:p>
                  <w:pPr>
                    <w:ind w:firstLine="480" w:firstLineChars="200"/>
                    <w:rPr>
                      <w:rFonts w:hint="default"/>
                      <w:sz w:val="24"/>
                      <w:szCs w:val="24"/>
                      <w:lang w:val="en-US" w:eastAsia="zh-CN"/>
                    </w:rPr>
                  </w:pPr>
                  <w:r>
                    <w:rPr>
                      <w:rFonts w:hint="default"/>
                      <w:sz w:val="24"/>
                      <w:szCs w:val="24"/>
                      <w:lang w:val="en-US" w:eastAsia="zh-CN"/>
                    </w:rPr>
                    <w:t>164208.1</w:t>
                  </w:r>
                </w:p>
              </w:tc>
              <w:tc>
                <w:tcPr>
                  <w:tcW w:w="1738" w:type="pct"/>
                  <w:noWrap w:val="0"/>
                  <w:vAlign w:val="bottom"/>
                </w:tcPr>
                <w:p>
                  <w:pPr>
                    <w:ind w:firstLine="1050" w:firstLineChars="500"/>
                    <w:rPr>
                      <w:rFonts w:hint="default"/>
                      <w:sz w:val="24"/>
                      <w:szCs w:val="24"/>
                      <w:lang w:val="en-US" w:eastAsia="zh-CN"/>
                    </w:rPr>
                  </w:pPr>
                  <w:r>
                    <w:rPr>
                      <w:rFonts w:hint="eastAsia"/>
                      <w:lang w:val="en-US" w:eastAsia="zh-CN"/>
                    </w:rPr>
                    <w:t>34.21</w:t>
                  </w:r>
                </w:p>
              </w:tc>
            </w:tr>
          </w:tbl>
          <w:p>
            <w:pPr>
              <w:rPr>
                <w:rFonts w:hint="default"/>
                <w:sz w:val="24"/>
                <w:szCs w:val="24"/>
                <w:lang w:val="en-US" w:eastAsia="zh-CN"/>
              </w:rPr>
            </w:pP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sz w:val="24"/>
                <w:szCs w:val="24"/>
                <w:lang w:val="en-US" w:eastAsia="zh-CN"/>
              </w:rPr>
            </w:pPr>
            <w:r>
              <w:rPr>
                <w:rFonts w:hint="eastAsia"/>
                <w:sz w:val="24"/>
                <w:szCs w:val="24"/>
                <w:lang w:val="en-US" w:eastAsia="zh-CN"/>
              </w:rPr>
              <w:t>能源数据的收集策划</w:t>
            </w:r>
          </w:p>
        </w:tc>
        <w:tc>
          <w:tcPr>
            <w:tcW w:w="960" w:type="dxa"/>
          </w:tcPr>
          <w:p>
            <w:pPr>
              <w:rPr>
                <w:rFonts w:hint="default"/>
                <w:sz w:val="24"/>
                <w:szCs w:val="24"/>
                <w:lang w:val="en-US" w:eastAsia="zh-CN"/>
              </w:rPr>
            </w:pPr>
            <w:r>
              <w:rPr>
                <w:rFonts w:hint="eastAsia"/>
                <w:sz w:val="24"/>
                <w:szCs w:val="24"/>
                <w:lang w:val="en-US" w:eastAsia="zh-CN"/>
              </w:rPr>
              <w:t>En6.6</w:t>
            </w:r>
          </w:p>
        </w:tc>
        <w:tc>
          <w:tcPr>
            <w:tcW w:w="10852" w:type="dxa"/>
          </w:tcPr>
          <w:p>
            <w:pPr>
              <w:rPr>
                <w:rFonts w:hint="eastAsia"/>
                <w:sz w:val="24"/>
                <w:szCs w:val="24"/>
                <w:lang w:val="en-US" w:eastAsia="zh-CN"/>
              </w:rPr>
            </w:pPr>
            <w:r>
              <w:rPr>
                <w:rFonts w:hint="eastAsia"/>
                <w:sz w:val="24"/>
                <w:szCs w:val="24"/>
                <w:lang w:val="en-US" w:eastAsia="zh-CN"/>
              </w:rPr>
              <w:t>该企业根据能源统计和能源核算以及成本考核等因素，对能源数据的收集进行了策划，并通过生产统计表（日报表）的形式予以展示，按照数据收集策划的要求对能源消耗进行成本核算和考核，基本满足企业能源管理的要求。</w:t>
            </w:r>
          </w:p>
          <w:p>
            <w:pPr>
              <w:rPr>
                <w:rFonts w:hint="default"/>
                <w:sz w:val="24"/>
                <w:szCs w:val="24"/>
                <w:lang w:val="en-US" w:eastAsia="zh-CN"/>
              </w:rPr>
            </w:pPr>
            <w:r>
              <w:rPr>
                <w:rFonts w:hint="eastAsia"/>
                <w:sz w:val="24"/>
                <w:szCs w:val="24"/>
                <w:lang w:val="en-US" w:eastAsia="zh-CN"/>
              </w:rPr>
              <w:t>但企业并未形成文件化或准则要求，建议企业逐步改进，已与企业进行沟通。</w:t>
            </w:r>
          </w:p>
        </w:tc>
        <w:tc>
          <w:tcPr>
            <w:tcW w:w="737" w:type="dxa"/>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60" w:type="dxa"/>
          </w:tcPr>
          <w:p>
            <w:pPr>
              <w:rPr>
                <w:rFonts w:hint="default"/>
                <w:sz w:val="24"/>
                <w:szCs w:val="24"/>
                <w:lang w:val="en-US" w:eastAsia="zh-CN"/>
              </w:rPr>
            </w:pPr>
            <w:r>
              <w:rPr>
                <w:rFonts w:hint="eastAsia"/>
                <w:sz w:val="24"/>
                <w:szCs w:val="24"/>
                <w:lang w:val="en-US" w:eastAsia="zh-CN"/>
              </w:rPr>
              <w:t>运行控制、沟通</w:t>
            </w:r>
          </w:p>
        </w:tc>
        <w:tc>
          <w:tcPr>
            <w:tcW w:w="960" w:type="dxa"/>
          </w:tcPr>
          <w:p>
            <w:pPr>
              <w:rPr>
                <w:rFonts w:hint="eastAsia"/>
                <w:sz w:val="24"/>
                <w:szCs w:val="24"/>
                <w:lang w:val="en-US" w:eastAsia="zh-CN"/>
              </w:rPr>
            </w:pPr>
            <w:r>
              <w:rPr>
                <w:rFonts w:hint="eastAsia"/>
                <w:sz w:val="24"/>
                <w:szCs w:val="24"/>
                <w:lang w:val="en-US" w:eastAsia="zh-CN"/>
              </w:rPr>
              <w:t>En7.4/</w:t>
            </w:r>
          </w:p>
          <w:p>
            <w:pPr>
              <w:rPr>
                <w:rFonts w:hint="default"/>
                <w:sz w:val="24"/>
                <w:szCs w:val="24"/>
                <w:lang w:val="en-US" w:eastAsia="zh-CN"/>
              </w:rPr>
            </w:pPr>
            <w:r>
              <w:rPr>
                <w:rFonts w:hint="eastAsia"/>
                <w:sz w:val="24"/>
                <w:szCs w:val="24"/>
                <w:lang w:val="en-US" w:eastAsia="zh-CN"/>
              </w:rPr>
              <w:t>6.6/</w:t>
            </w:r>
          </w:p>
          <w:p>
            <w:pPr>
              <w:rPr>
                <w:rFonts w:hint="default"/>
                <w:sz w:val="24"/>
                <w:szCs w:val="24"/>
                <w:lang w:val="en-US" w:eastAsia="zh-CN"/>
              </w:rPr>
            </w:pPr>
            <w:r>
              <w:rPr>
                <w:rFonts w:hint="eastAsia"/>
                <w:sz w:val="24"/>
                <w:szCs w:val="24"/>
                <w:lang w:val="en-US" w:eastAsia="zh-CN"/>
              </w:rPr>
              <w:t>8.1/9.1.1</w:t>
            </w:r>
          </w:p>
        </w:tc>
        <w:tc>
          <w:tcPr>
            <w:tcW w:w="10852" w:type="dxa"/>
          </w:tcPr>
          <w:p>
            <w:pPr>
              <w:rPr>
                <w:rFonts w:hint="eastAsia"/>
                <w:sz w:val="24"/>
                <w:szCs w:val="24"/>
                <w:lang w:val="en-US" w:eastAsia="zh-CN"/>
              </w:rPr>
            </w:pPr>
            <w:r>
              <w:rPr>
                <w:rFonts w:hint="eastAsia"/>
                <w:sz w:val="24"/>
                <w:szCs w:val="24"/>
                <w:lang w:val="en-US" w:eastAsia="zh-CN"/>
              </w:rPr>
              <w:t>江苏美润食品有限公司是一家专业研发、生产和销售生制品（冷冻水饺）的企业，公司产品广泛应用于各大超市、单位食堂,为国内餐饮市场提供高品质的冷冻水饺。美润在发展历程中，秉承“质量和创新是企业生命线”的理念形成具有专业技术的设计团队，配备专业的材料检测室，为客户设计和定制实用、安全、经济的整体包装解决方案。</w:t>
            </w:r>
          </w:p>
          <w:p>
            <w:pPr>
              <w:rPr>
                <w:rFonts w:hint="eastAsia"/>
                <w:sz w:val="24"/>
                <w:szCs w:val="24"/>
                <w:lang w:val="en-US" w:eastAsia="zh-CN"/>
              </w:rPr>
            </w:pPr>
            <w:r>
              <w:rPr>
                <w:rFonts w:hint="eastAsia"/>
                <w:sz w:val="24"/>
                <w:szCs w:val="24"/>
                <w:lang w:val="en-US" w:eastAsia="zh-CN"/>
              </w:rPr>
              <w:t xml:space="preserve">通过运用多个数据化管理系统，形成产、供、销科学之规划和管理，并可以完全根据客户之不同要求 设计、生产和安装，以此满足客户需要。 </w:t>
            </w:r>
          </w:p>
          <w:p>
            <w:pPr>
              <w:rPr>
                <w:rFonts w:hint="eastAsia"/>
                <w:sz w:val="24"/>
                <w:szCs w:val="24"/>
                <w:lang w:val="en-US" w:eastAsia="zh-CN"/>
              </w:rPr>
            </w:pPr>
            <w:r>
              <w:rPr>
                <w:rFonts w:hint="eastAsia"/>
                <w:sz w:val="24"/>
                <w:szCs w:val="24"/>
                <w:lang w:val="en-US" w:eastAsia="zh-CN"/>
              </w:rPr>
              <w:t>一、工艺流程：</w:t>
            </w:r>
          </w:p>
          <w:p>
            <w:pPr>
              <w:rPr>
                <w:rFonts w:hint="eastAsia"/>
                <w:sz w:val="24"/>
                <w:szCs w:val="24"/>
                <w:lang w:val="en-US" w:eastAsia="zh-CN"/>
              </w:rPr>
            </w:pPr>
          </w:p>
          <w:p>
            <w:pPr>
              <w:rPr>
                <w:rFonts w:hint="eastAsia" w:eastAsia="宋体"/>
                <w:sz w:val="24"/>
                <w:szCs w:val="24"/>
                <w:lang w:val="en-US" w:eastAsia="zh-CN"/>
              </w:rPr>
            </w:pPr>
            <w:r>
              <w:rPr>
                <w:rFonts w:hint="eastAsia"/>
                <w:sz w:val="24"/>
                <w:szCs w:val="24"/>
                <w:lang w:val="en-US" w:eastAsia="zh-CN"/>
              </w:rPr>
              <w:t>冷冻水饺</w:t>
            </w:r>
            <w:r>
              <w:rPr>
                <w:rFonts w:hint="eastAsia" w:eastAsia="宋体"/>
                <w:sz w:val="24"/>
                <w:szCs w:val="24"/>
                <w:lang w:val="en-US" w:eastAsia="zh-CN"/>
              </w:rPr>
              <w:t>工艺流程图：</w:t>
            </w:r>
          </w:p>
          <w:p>
            <w:pPr>
              <w:rPr>
                <w:rFonts w:hint="default" w:ascii="Times New Roman" w:hAnsi="Times New Roman" w:eastAsia="宋体" w:cs="Times New Roman"/>
                <w:sz w:val="24"/>
                <w:szCs w:val="24"/>
                <w:lang w:val="en-US" w:eastAsia="zh-CN"/>
              </w:rPr>
            </w:pPr>
            <w:r>
              <w:rPr>
                <w:rFonts w:hint="eastAsia" w:asciiTheme="minorEastAsia" w:hAnsiTheme="minorEastAsia" w:cstheme="minorEastAsia"/>
                <w:color w:val="000000"/>
                <w:kern w:val="0"/>
                <w:sz w:val="28"/>
                <w:szCs w:val="28"/>
                <w:lang w:val="en-US" w:eastAsia="zh-CN"/>
              </w:rPr>
              <w:t xml:space="preserve">         </w:t>
            </w:r>
            <w:r>
              <w:rPr>
                <w:rFonts w:hint="eastAsia" w:ascii="Times New Roman" w:hAnsi="Times New Roman" w:eastAsia="宋体" w:cs="Times New Roman"/>
                <w:sz w:val="24"/>
                <w:szCs w:val="24"/>
                <w:lang w:val="en-US" w:eastAsia="zh-CN"/>
              </w:rPr>
              <w:t xml:space="preserve">                                 和面-</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（蔬菜预处理及加工、猪肉预处理及加工）-配料-制馅-成型-速冻-包装-原料冷库-成品冷库</w:t>
            </w:r>
          </w:p>
          <w:p>
            <w:pPr>
              <w:pStyle w:val="17"/>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生产控制情况：</w:t>
            </w:r>
          </w:p>
          <w:p>
            <w:pPr>
              <w:rPr>
                <w:rFonts w:hint="eastAsia"/>
                <w:sz w:val="24"/>
                <w:szCs w:val="24"/>
                <w:lang w:val="en-US" w:eastAsia="zh-CN"/>
              </w:rPr>
            </w:pPr>
            <w:r>
              <w:rPr>
                <w:rFonts w:hint="eastAsia"/>
                <w:sz w:val="24"/>
                <w:szCs w:val="24"/>
                <w:lang w:val="en-US" w:eastAsia="zh-CN"/>
              </w:rPr>
              <w:t>抽查：2021年1-10月份生产统计表（月报表）和2020年1-12月份生产统计表（月报表）分析能耗耗与产品的消耗等数据，对能源消耗进行控制：</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GB" w:eastAsia="zh-CN"/>
              </w:rPr>
              <w:t>运行控制情况：</w:t>
            </w:r>
            <w:r>
              <w:rPr>
                <w:rFonts w:hint="eastAsia" w:ascii="Times New Roman" w:hAnsi="Times New Roman" w:eastAsia="宋体" w:cs="Times New Roman"/>
                <w:sz w:val="24"/>
                <w:szCs w:val="24"/>
                <w:lang w:val="en-US" w:eastAsia="zh-CN"/>
              </w:rPr>
              <w:t>生产</w:t>
            </w:r>
            <w:r>
              <w:rPr>
                <w:rFonts w:hint="eastAsia" w:ascii="Times New Roman" w:hAnsi="Times New Roman" w:eastAsia="宋体" w:cs="Times New Roman"/>
                <w:sz w:val="24"/>
                <w:szCs w:val="24"/>
                <w:lang w:val="en-GB" w:eastAsia="zh-CN"/>
              </w:rPr>
              <w:t>过程注意节约用电，</w:t>
            </w:r>
            <w:r>
              <w:rPr>
                <w:rFonts w:hint="eastAsia" w:ascii="Times New Roman" w:hAnsi="Times New Roman" w:eastAsia="宋体" w:cs="Times New Roman"/>
                <w:sz w:val="24"/>
                <w:szCs w:val="24"/>
                <w:lang w:val="en-US" w:eastAsia="zh-CN"/>
              </w:rPr>
              <w:t>做到饱和生产，避免无故停车，无料时及时关闭电源</w:t>
            </w:r>
            <w:r>
              <w:rPr>
                <w:rFonts w:hint="eastAsia" w:ascii="Times New Roman" w:hAnsi="Times New Roman" w:eastAsia="宋体" w:cs="Times New Roman"/>
                <w:sz w:val="24"/>
                <w:szCs w:val="24"/>
                <w:lang w:val="en-GB" w:eastAsia="zh-CN"/>
              </w:rPr>
              <w:t>，</w:t>
            </w:r>
            <w:r>
              <w:rPr>
                <w:rFonts w:hint="eastAsia" w:ascii="Times New Roman" w:hAnsi="Times New Roman" w:eastAsia="宋体" w:cs="Times New Roman"/>
                <w:sz w:val="24"/>
                <w:szCs w:val="24"/>
                <w:lang w:val="en-US" w:eastAsia="zh-CN"/>
              </w:rPr>
              <w:t>控制效果良好。</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提供“检查情况统计”</w:t>
            </w:r>
            <w:r>
              <w:rPr>
                <w:rFonts w:hint="eastAsia" w:ascii="Times New Roman" w:hAnsi="Times New Roman" w:eastAsia="宋体" w:cs="Times New Roman"/>
                <w:sz w:val="24"/>
                <w:szCs w:val="24"/>
                <w:lang w:val="en-GB" w:eastAsia="zh-CN"/>
              </w:rPr>
              <w:t>，</w:t>
            </w:r>
            <w:r>
              <w:rPr>
                <w:rFonts w:hint="eastAsia" w:ascii="Times New Roman" w:hAnsi="Times New Roman" w:eastAsia="宋体" w:cs="Times New Roman"/>
                <w:sz w:val="24"/>
                <w:szCs w:val="24"/>
                <w:lang w:val="en-US" w:eastAsia="zh-CN"/>
              </w:rPr>
              <w:t>包括：检查内容、检查结果等，综合部每月进行检查并</w:t>
            </w:r>
            <w:r>
              <w:rPr>
                <w:rFonts w:hint="eastAsia" w:ascii="Times New Roman" w:hAnsi="Times New Roman" w:eastAsia="宋体" w:cs="Times New Roman"/>
                <w:sz w:val="24"/>
                <w:szCs w:val="24"/>
                <w:lang w:val="en-GB" w:eastAsia="zh-CN"/>
              </w:rPr>
              <w:t>统计分析、</w:t>
            </w:r>
            <w:r>
              <w:rPr>
                <w:rFonts w:hint="eastAsia" w:ascii="Times New Roman" w:hAnsi="Times New Roman" w:eastAsia="宋体" w:cs="Times New Roman"/>
                <w:sz w:val="24"/>
                <w:szCs w:val="24"/>
                <w:lang w:val="en-US" w:eastAsia="zh-CN"/>
              </w:rPr>
              <w:t>考核</w:t>
            </w:r>
            <w:r>
              <w:rPr>
                <w:rFonts w:hint="eastAsia" w:ascii="Times New Roman" w:hAnsi="Times New Roman" w:eastAsia="宋体" w:cs="Times New Roman"/>
                <w:sz w:val="24"/>
                <w:szCs w:val="24"/>
                <w:lang w:val="en-GB" w:eastAsia="zh-CN"/>
              </w:rPr>
              <w:t>，</w:t>
            </w:r>
            <w:r>
              <w:rPr>
                <w:rFonts w:hint="eastAsia" w:ascii="Times New Roman" w:hAnsi="Times New Roman" w:eastAsia="宋体" w:cs="Times New Roman"/>
                <w:sz w:val="24"/>
                <w:szCs w:val="24"/>
                <w:lang w:val="en-US" w:eastAsia="zh-CN"/>
              </w:rPr>
              <w:t>。</w:t>
            </w:r>
          </w:p>
          <w:p>
            <w:pPr>
              <w:pStyle w:val="17"/>
              <w:rPr>
                <w:rFonts w:hint="default"/>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三、设备管理</w:t>
            </w:r>
          </w:p>
          <w:p>
            <w:pPr>
              <w:rPr>
                <w:rFonts w:hint="default"/>
                <w:sz w:val="24"/>
                <w:szCs w:val="24"/>
                <w:lang w:val="en-US" w:eastAsia="zh-CN"/>
              </w:rPr>
            </w:pPr>
            <w:r>
              <w:rPr>
                <w:rFonts w:hint="eastAsia"/>
                <w:sz w:val="24"/>
                <w:szCs w:val="24"/>
                <w:lang w:val="en-US" w:eastAsia="zh-CN"/>
              </w:rPr>
              <w:t>提供：设备管理制度及生产设备台账，编制了设备管理制度和生产设备台账，记录生产设备</w:t>
            </w:r>
            <w:r>
              <w:rPr>
                <w:rFonts w:hint="eastAsia"/>
                <w:color w:val="000000" w:themeColor="text1"/>
                <w:sz w:val="20"/>
                <w:lang w:val="en-US" w:eastAsia="zh-CN"/>
                <w14:textFill>
                  <w14:solidFill>
                    <w14:schemeClr w14:val="tx1"/>
                  </w14:solidFill>
                </w14:textFill>
              </w:rPr>
              <w:t>95</w:t>
            </w:r>
            <w:r>
              <w:rPr>
                <w:rFonts w:hint="eastAsia"/>
                <w:sz w:val="24"/>
                <w:szCs w:val="24"/>
                <w:lang w:val="en-US" w:eastAsia="zh-CN"/>
              </w:rPr>
              <w:t>台套，</w:t>
            </w:r>
            <w:r>
              <w:rPr>
                <w:rFonts w:hint="eastAsia"/>
                <w:color w:val="FF0000"/>
                <w:sz w:val="24"/>
                <w:szCs w:val="24"/>
                <w:lang w:val="en-US" w:eastAsia="zh-CN"/>
              </w:rPr>
              <w:t>但未对主要耗能设备冷库制冷系统进行测试。——不符合项</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四、能源计量管理：</w:t>
            </w:r>
          </w:p>
          <w:p>
            <w:pPr>
              <w:pStyle w:val="18"/>
              <w:rPr>
                <w:rFonts w:hint="default"/>
                <w:color w:val="0000FF"/>
                <w:sz w:val="24"/>
                <w:szCs w:val="24"/>
                <w:lang w:val="en-US" w:eastAsia="zh-CN"/>
              </w:rPr>
            </w:pPr>
            <w:r>
              <w:rPr>
                <w:rFonts w:hint="eastAsia"/>
                <w:sz w:val="24"/>
                <w:szCs w:val="24"/>
                <w:lang w:val="en-US" w:eastAsia="zh-CN"/>
              </w:rPr>
              <w:t>公司配备两个进户电表，分别是生产车间一个、冷库一个，电表由供电部门进行封闭，不许公司拆卸。主要用能设备冷库制冷系统设备装有独立的电表。</w:t>
            </w:r>
          </w:p>
          <w:p>
            <w:pPr>
              <w:rPr>
                <w:rFonts w:hint="eastAsia"/>
                <w:sz w:val="24"/>
                <w:szCs w:val="24"/>
                <w:lang w:val="en-US" w:eastAsia="zh-CN"/>
              </w:rPr>
            </w:pPr>
            <w:r>
              <w:rPr>
                <w:rFonts w:hint="eastAsia"/>
                <w:sz w:val="24"/>
                <w:szCs w:val="24"/>
                <w:lang w:val="en-US" w:eastAsia="zh-CN"/>
              </w:rPr>
              <w:t>提供计量器具配备表，符合要求</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五、淘汰能耗落后工艺、设备概况</w:t>
            </w:r>
          </w:p>
          <w:p>
            <w:pPr>
              <w:rPr>
                <w:rFonts w:hint="default"/>
                <w:sz w:val="24"/>
                <w:szCs w:val="24"/>
                <w:lang w:val="en-US" w:eastAsia="zh-CN"/>
              </w:rPr>
            </w:pPr>
            <w:r>
              <w:rPr>
                <w:rFonts w:hint="eastAsia"/>
                <w:sz w:val="24"/>
                <w:szCs w:val="24"/>
                <w:lang w:val="en-US" w:eastAsia="zh-CN"/>
              </w:rPr>
              <w:t>按照国家政策法规文件识别江苏美润食品有限公司无相关能耗落后的工艺，也无淘汰落后设备。</w:t>
            </w:r>
          </w:p>
          <w:p>
            <w:pPr>
              <w:rPr>
                <w:rFonts w:hint="eastAsia"/>
                <w:sz w:val="24"/>
                <w:szCs w:val="24"/>
                <w:lang w:val="en-US" w:eastAsia="zh-CN"/>
              </w:rPr>
            </w:pPr>
            <w:r>
              <w:rPr>
                <w:rFonts w:hint="eastAsia"/>
                <w:sz w:val="24"/>
                <w:szCs w:val="24"/>
                <w:lang w:val="en-US" w:eastAsia="zh-CN"/>
              </w:rPr>
              <w:t>能源绩效</w:t>
            </w:r>
          </w:p>
          <w:p>
            <w:pPr>
              <w:rPr>
                <w:rFonts w:hint="eastAsia"/>
                <w:sz w:val="24"/>
                <w:szCs w:val="24"/>
                <w:lang w:val="en-US" w:eastAsia="zh-CN"/>
              </w:rPr>
            </w:pPr>
            <w:r>
              <w:rPr>
                <w:rFonts w:hint="eastAsia"/>
                <w:sz w:val="24"/>
                <w:szCs w:val="24"/>
                <w:lang w:val="en-US" w:eastAsia="zh-CN"/>
              </w:rPr>
              <w:t>能源限额管理：企业所处行业目前国家及地方未指定行业限额标准。</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2019年度-2021年10月份产品产量及综合能耗统计分析情况如下：</w:t>
            </w:r>
          </w:p>
          <w:p>
            <w:pPr>
              <w:pStyle w:val="12"/>
              <w:ind w:left="0" w:leftChars="0" w:firstLine="0" w:firstLineChars="0"/>
              <w:rPr>
                <w:rFonts w:hint="eastAsia"/>
                <w:lang w:val="en-US" w:eastAsia="zh-CN"/>
              </w:rPr>
            </w:pPr>
            <w:r>
              <w:rPr>
                <w:rFonts w:hint="eastAsia"/>
                <w:lang w:val="en-US" w:eastAsia="zh-CN"/>
              </w:rPr>
              <w:t>2019年目标：单位产品能耗为34.21kgce/t；</w:t>
            </w:r>
          </w:p>
          <w:p>
            <w:pPr>
              <w:pStyle w:val="12"/>
              <w:ind w:left="0" w:leftChars="0" w:firstLine="0" w:firstLineChars="0"/>
              <w:rPr>
                <w:rFonts w:hint="default"/>
                <w:lang w:val="en-US" w:eastAsia="zh-CN"/>
              </w:rPr>
            </w:pPr>
            <w:r>
              <w:rPr>
                <w:rFonts w:hint="default"/>
                <w:lang w:val="en-US" w:eastAsia="zh-CN"/>
              </w:rPr>
              <w:t>2020年实际完成情况：单位产品能耗44.78kgce/</w:t>
            </w:r>
            <w:r>
              <w:rPr>
                <w:rFonts w:hint="eastAsia"/>
                <w:lang w:val="en-US" w:eastAsia="zh-CN"/>
              </w:rPr>
              <w:t>t</w:t>
            </w:r>
            <w:r>
              <w:rPr>
                <w:rFonts w:hint="default"/>
                <w:lang w:val="en-US" w:eastAsia="zh-CN"/>
              </w:rPr>
              <w:t>；</w:t>
            </w:r>
          </w:p>
          <w:p>
            <w:pPr>
              <w:pStyle w:val="12"/>
              <w:ind w:left="0" w:leftChars="0" w:firstLine="0" w:firstLineChars="0"/>
              <w:rPr>
                <w:rFonts w:hint="default"/>
                <w:lang w:val="en-US" w:eastAsia="zh-CN"/>
              </w:rPr>
            </w:pPr>
            <w:r>
              <w:rPr>
                <w:rFonts w:hint="default"/>
                <w:lang w:val="en-US" w:eastAsia="zh-CN"/>
              </w:rPr>
              <w:t>2021年实际完成情况：单位产品能耗43.21kgce/</w:t>
            </w:r>
            <w:r>
              <w:rPr>
                <w:rFonts w:hint="eastAsia"/>
                <w:lang w:val="en-US" w:eastAsia="zh-CN"/>
              </w:rPr>
              <w:t>t</w:t>
            </w:r>
            <w:r>
              <w:rPr>
                <w:rFonts w:hint="default"/>
                <w:lang w:val="en-US" w:eastAsia="zh-CN"/>
              </w:rPr>
              <w:t>；</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由上表可以看出，2019年、2020年、2021年三年的单位产品能耗分别为：</w:t>
            </w:r>
          </w:p>
          <w:p>
            <w:pPr>
              <w:rPr>
                <w:rFonts w:hint="eastAsia"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：34.21kgce/t、</w:t>
            </w:r>
            <w:r>
              <w:rPr>
                <w:rFonts w:hint="default" w:ascii="Times New Roman" w:hAnsi="Times New Roman" w:eastAsia="宋体" w:cs="Times New Roman"/>
                <w:kern w:val="2"/>
                <w:sz w:val="24"/>
                <w:lang w:val="en-US" w:eastAsia="zh-CN" w:bidi="ar-SA"/>
              </w:rPr>
              <w:t>44.78kgce/</w:t>
            </w:r>
            <w:r>
              <w:rPr>
                <w:rFonts w:hint="eastAsia" w:ascii="Times New Roman" w:hAnsi="Times New Roman" w:eastAsia="宋体" w:cs="Times New Roman"/>
                <w:kern w:val="2"/>
                <w:sz w:val="24"/>
                <w:lang w:val="en-US" w:eastAsia="zh-CN" w:bidi="ar-SA"/>
              </w:rPr>
              <w:t>t、</w:t>
            </w:r>
            <w:r>
              <w:rPr>
                <w:rFonts w:hint="default" w:ascii="Times New Roman" w:hAnsi="Times New Roman" w:eastAsia="宋体" w:cs="Times New Roman"/>
                <w:kern w:val="2"/>
                <w:sz w:val="24"/>
                <w:lang w:val="en-US" w:eastAsia="zh-CN" w:bidi="ar-SA"/>
              </w:rPr>
              <w:t>43.21kgce/</w:t>
            </w:r>
            <w:r>
              <w:rPr>
                <w:rFonts w:hint="eastAsia" w:ascii="Times New Roman" w:hAnsi="Times New Roman" w:eastAsia="宋体" w:cs="Times New Roman"/>
                <w:kern w:val="2"/>
                <w:sz w:val="24"/>
                <w:lang w:val="en-US" w:eastAsia="zh-CN" w:bidi="ar-SA"/>
              </w:rPr>
              <w:t>t；</w:t>
            </w: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r>
              <w:rPr>
                <w:rFonts w:hint="eastAsia"/>
                <w:lang w:val="en-US" w:eastAsia="zh-CN"/>
              </w:rPr>
              <w:t>三年的走势图如下：</w:t>
            </w:r>
          </w:p>
          <w:p>
            <w:pPr>
              <w:pStyle w:val="12"/>
              <w:ind w:left="0" w:leftChars="0" w:firstLine="0" w:firstLineChars="0"/>
              <w:rPr>
                <w:rFonts w:hint="eastAsia"/>
                <w:lang w:val="en-US" w:eastAsia="zh-CN"/>
              </w:rPr>
            </w:pPr>
            <w:r>
              <w:drawing>
                <wp:inline distT="0" distB="0" distL="114300" distR="114300">
                  <wp:extent cx="6736080" cy="2229485"/>
                  <wp:effectExtent l="5080" t="4445" r="15240" b="1397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rFonts w:hint="eastAsia"/>
                <w:sz w:val="24"/>
                <w:szCs w:val="24"/>
                <w:lang w:val="en-US" w:eastAsia="zh-CN"/>
              </w:rPr>
            </w:pPr>
            <w:r>
              <w:rPr>
                <w:rFonts w:hint="eastAsia"/>
                <w:sz w:val="24"/>
                <w:szCs w:val="24"/>
                <w:lang w:val="en-US" w:eastAsia="zh-CN"/>
              </w:rPr>
              <w:t>七、现场巡视情况：</w:t>
            </w:r>
          </w:p>
          <w:p>
            <w:pPr>
              <w:rPr>
                <w:rFonts w:hint="eastAsia"/>
                <w:sz w:val="24"/>
                <w:szCs w:val="24"/>
                <w:lang w:val="en-US" w:eastAsia="zh-CN"/>
              </w:rPr>
            </w:pPr>
            <w:r>
              <w:rPr>
                <w:rFonts w:hint="eastAsia"/>
                <w:sz w:val="24"/>
                <w:szCs w:val="24"/>
                <w:lang w:val="en-US" w:eastAsia="zh-CN"/>
              </w:rPr>
              <w:t>现场查看生产控制和设备运行情况，部分生产设备正在运行现场生产秩序良好，未发现跑冒滴漏现象；</w:t>
            </w:r>
          </w:p>
          <w:p>
            <w:pPr>
              <w:rPr>
                <w:rFonts w:hint="eastAsia"/>
                <w:sz w:val="24"/>
                <w:szCs w:val="24"/>
                <w:lang w:val="en-US" w:eastAsia="zh-CN"/>
              </w:rPr>
            </w:pPr>
            <w:r>
              <w:rPr>
                <w:rFonts w:hint="eastAsia"/>
                <w:sz w:val="24"/>
                <w:szCs w:val="24"/>
                <w:lang w:val="en-US" w:eastAsia="zh-CN"/>
              </w:rPr>
              <w:t>现场计量设备有计量确认合格证。</w:t>
            </w:r>
          </w:p>
          <w:p>
            <w:pPr>
              <w:rPr>
                <w:rFonts w:hint="default"/>
                <w:sz w:val="24"/>
                <w:szCs w:val="24"/>
                <w:lang w:val="en-US" w:eastAsia="zh-CN"/>
              </w:rPr>
            </w:pPr>
          </w:p>
          <w:p>
            <w:pPr>
              <w:rPr>
                <w:rFonts w:hint="eastAsia"/>
                <w:sz w:val="24"/>
                <w:szCs w:val="24"/>
                <w:lang w:val="en-US" w:eastAsia="zh-CN"/>
              </w:rPr>
            </w:pPr>
            <w:r>
              <w:rPr>
                <w:rFonts w:hint="eastAsia"/>
                <w:sz w:val="24"/>
                <w:szCs w:val="24"/>
                <w:lang w:val="en-US" w:eastAsia="zh-CN"/>
              </w:rPr>
              <w:t>八、生产控制及设备运行情况：</w:t>
            </w:r>
          </w:p>
          <w:p>
            <w:pPr>
              <w:rPr>
                <w:rFonts w:hint="default"/>
                <w:sz w:val="24"/>
                <w:szCs w:val="24"/>
                <w:lang w:val="en-US" w:eastAsia="zh-CN"/>
              </w:rPr>
            </w:pPr>
            <w:r>
              <w:rPr>
                <w:rFonts w:hint="eastAsia"/>
                <w:sz w:val="24"/>
                <w:szCs w:val="24"/>
                <w:lang w:val="en-US" w:eastAsia="zh-CN"/>
              </w:rPr>
              <w:t>公司制定有操作规程，加工过程中严格按照操作规程进行，设备运转良好。</w:t>
            </w:r>
          </w:p>
          <w:p>
            <w:pPr>
              <w:rPr>
                <w:rFonts w:hint="eastAsia"/>
                <w:sz w:val="24"/>
                <w:szCs w:val="24"/>
                <w:lang w:val="en-US" w:eastAsia="zh-CN"/>
              </w:rPr>
            </w:pPr>
            <w:r>
              <w:rPr>
                <w:rFonts w:hint="eastAsia"/>
                <w:sz w:val="24"/>
                <w:szCs w:val="24"/>
                <w:lang w:val="en-US" w:eastAsia="zh-CN"/>
              </w:rPr>
              <w:t>（1）公司建立了能源管理和用能奖惩制度，将用能指标分解，定期考核。</w:t>
            </w:r>
          </w:p>
          <w:p>
            <w:pPr>
              <w:rPr>
                <w:rFonts w:hint="eastAsia"/>
                <w:sz w:val="24"/>
                <w:szCs w:val="24"/>
                <w:lang w:val="en-US" w:eastAsia="zh-CN"/>
              </w:rPr>
            </w:pPr>
            <w:r>
              <w:rPr>
                <w:rFonts w:hint="eastAsia"/>
                <w:sz w:val="24"/>
                <w:szCs w:val="24"/>
                <w:lang w:val="en-US" w:eastAsia="zh-CN"/>
              </w:rPr>
              <w:t>按要求建立能耗计量、统计制度，建立能耗测试数据、能耗核算和分析结果的文件档案，并对文件进行受控管理。 </w:t>
            </w:r>
          </w:p>
          <w:p>
            <w:pPr>
              <w:rPr>
                <w:rFonts w:hint="eastAsia"/>
                <w:sz w:val="24"/>
                <w:szCs w:val="24"/>
                <w:lang w:val="en-US" w:eastAsia="zh-CN"/>
              </w:rPr>
            </w:pPr>
            <w:r>
              <w:rPr>
                <w:rFonts w:hint="eastAsia"/>
                <w:sz w:val="24"/>
                <w:szCs w:val="24"/>
                <w:lang w:val="en-US" w:eastAsia="zh-CN"/>
              </w:rPr>
              <w:t>根据GB 17167和JJF 1356的要求配备和使用能源计量器具和仪器仪表，完善能源计量管理，能源计量数据应真实、准确和完整，并有溯源的原始记录。</w:t>
            </w:r>
          </w:p>
          <w:p>
            <w:pPr>
              <w:rPr>
                <w:rFonts w:hint="eastAsia"/>
                <w:sz w:val="24"/>
                <w:szCs w:val="24"/>
                <w:lang w:val="en-US" w:eastAsia="zh-CN"/>
              </w:rPr>
            </w:pPr>
            <w:r>
              <w:rPr>
                <w:rFonts w:hint="eastAsia"/>
                <w:sz w:val="24"/>
                <w:szCs w:val="24"/>
                <w:lang w:val="en-US" w:eastAsia="zh-CN"/>
              </w:rPr>
              <w:t>（2）节能技术措施 </w:t>
            </w:r>
          </w:p>
          <w:p>
            <w:pPr>
              <w:rPr>
                <w:rFonts w:hint="eastAsia"/>
                <w:sz w:val="24"/>
                <w:szCs w:val="24"/>
                <w:lang w:val="en-US" w:eastAsia="zh-CN"/>
              </w:rPr>
            </w:pPr>
            <w:r>
              <w:rPr>
                <w:rFonts w:hint="eastAsia"/>
                <w:sz w:val="24"/>
                <w:szCs w:val="24"/>
                <w:lang w:val="en-US" w:eastAsia="zh-CN"/>
              </w:rPr>
              <w:t>依靠技术进步，淘汰落后工艺和设备，采用有效节能的新技术、新工艺、新材料，新能源和可再生能源，提高能源利用效率。 </w:t>
            </w:r>
          </w:p>
          <w:p>
            <w:pPr>
              <w:rPr>
                <w:rFonts w:hint="eastAsia"/>
                <w:sz w:val="24"/>
                <w:szCs w:val="24"/>
                <w:lang w:val="en-US" w:eastAsia="zh-CN"/>
              </w:rPr>
            </w:pPr>
            <w:r>
              <w:rPr>
                <w:rFonts w:hint="eastAsia"/>
                <w:sz w:val="24"/>
                <w:szCs w:val="24"/>
                <w:lang w:val="en-US" w:eastAsia="zh-CN"/>
              </w:rPr>
              <w:t xml:space="preserve">在用的各种通用耗能设备符合相关的国家用能产品经济运行标准要求，达到经济运行状态。  </w:t>
            </w:r>
          </w:p>
          <w:p>
            <w:pPr>
              <w:rPr>
                <w:rFonts w:hint="default"/>
                <w:sz w:val="24"/>
                <w:szCs w:val="24"/>
                <w:lang w:val="en-US" w:eastAsia="zh-CN"/>
              </w:rPr>
            </w:pPr>
            <w:r>
              <w:rPr>
                <w:rFonts w:hint="eastAsia"/>
                <w:sz w:val="24"/>
                <w:szCs w:val="24"/>
                <w:lang w:val="en-US" w:eastAsia="zh-CN"/>
              </w:rPr>
              <w:t>（2）工序在生产过程中最大限度地加快速率，保证节能效果。</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bookmarkStart w:id="0" w:name="_GoBack"/>
            <w:bookmarkEnd w:id="0"/>
          </w:p>
          <w:p>
            <w:pPr>
              <w:pStyle w:val="17"/>
              <w:rPr>
                <w:rFonts w:hint="default" w:ascii="Times New Roman" w:hAnsi="Times New Roman" w:eastAsia="宋体" w:cs="Times New Roman"/>
                <w:color w:val="FF0000"/>
                <w:spacing w:val="0"/>
                <w:kern w:val="2"/>
                <w:sz w:val="24"/>
                <w:szCs w:val="24"/>
                <w:lang w:val="en-US" w:eastAsia="zh-CN" w:bidi="ar-SA"/>
              </w:rPr>
            </w:pPr>
            <w:r>
              <w:rPr>
                <w:rFonts w:hint="eastAsia" w:ascii="Times New Roman" w:hAnsi="Times New Roman" w:eastAsia="宋体" w:cs="Times New Roman"/>
                <w:color w:val="FF0000"/>
                <w:spacing w:val="0"/>
                <w:kern w:val="2"/>
                <w:sz w:val="24"/>
                <w:szCs w:val="24"/>
                <w:lang w:val="en-US" w:eastAsia="zh-CN" w:bidi="ar-SA"/>
              </w:rPr>
              <w:t>N</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合规性评价</w:t>
            </w:r>
          </w:p>
        </w:tc>
        <w:tc>
          <w:tcPr>
            <w:tcW w:w="960" w:type="dxa"/>
          </w:tcPr>
          <w:p>
            <w:pPr>
              <w:rPr>
                <w:rFonts w:hint="default"/>
                <w:sz w:val="24"/>
                <w:szCs w:val="24"/>
                <w:lang w:val="en-US" w:eastAsia="zh-CN"/>
              </w:rPr>
            </w:pPr>
            <w:r>
              <w:rPr>
                <w:rFonts w:hint="eastAsia"/>
                <w:sz w:val="24"/>
                <w:szCs w:val="24"/>
                <w:lang w:val="en-US" w:eastAsia="zh-CN"/>
              </w:rPr>
              <w:t>En9.1.2</w:t>
            </w:r>
          </w:p>
        </w:tc>
        <w:tc>
          <w:tcPr>
            <w:tcW w:w="10852" w:type="dxa"/>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提供2021年5月6日企业组织的合规性评价报告及编制的《能源法律法规清单》识别法律法规3</w:t>
            </w:r>
            <w:r>
              <w:rPr>
                <w:rFonts w:hint="eastAsia" w:cs="Times New Roman"/>
                <w:sz w:val="24"/>
                <w:szCs w:val="24"/>
                <w:lang w:val="en-US" w:eastAsia="zh-CN"/>
              </w:rPr>
              <w:t>1</w:t>
            </w:r>
            <w:r>
              <w:rPr>
                <w:rFonts w:hint="eastAsia" w:ascii="Times New Roman" w:hAnsi="Times New Roman" w:cs="Times New Roman"/>
                <w:sz w:val="24"/>
                <w:szCs w:val="24"/>
                <w:lang w:val="en-US" w:eastAsia="zh-CN"/>
              </w:rPr>
              <w:t>项，相关标准15项；包括：中华人民共和国节约能源法、清洁生产法、计量法、GB/T23331-2020能源管理体系 要求及使用指南等。</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提供《能源管理体系法律、法规及其它要求合规性评价报告》对识别的</w:t>
            </w:r>
            <w:r>
              <w:rPr>
                <w:rFonts w:hint="eastAsia" w:cs="Times New Roman"/>
                <w:sz w:val="24"/>
                <w:szCs w:val="24"/>
                <w:lang w:val="en-US" w:eastAsia="zh-CN"/>
              </w:rPr>
              <w:t>46</w:t>
            </w:r>
            <w:r>
              <w:rPr>
                <w:rFonts w:hint="eastAsia" w:ascii="Times New Roman" w:hAnsi="Times New Roman" w:cs="Times New Roman"/>
                <w:sz w:val="24"/>
                <w:szCs w:val="24"/>
                <w:lang w:val="en-US" w:eastAsia="zh-CN"/>
              </w:rPr>
              <w:t>项法律法规、标准进行合规性评价。</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经评价组人员的综合评价，公司严格贯彻执行国家、地方相关法律法规和其它标准要求，通过多方面、多渠道去节约能源，使公司在能源消耗方面取得了一定的成效。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评价结论：评价组人员一致认为公司遵守国家、地方法律法规和其它要求符合、有效；全部合规。</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基本符合要求。</w:t>
            </w:r>
          </w:p>
        </w:tc>
        <w:tc>
          <w:tcPr>
            <w:tcW w:w="737" w:type="dxa"/>
          </w:tcPr>
          <w:p>
            <w:pPr>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Pr>
          <w:p>
            <w:pPr>
              <w:rPr>
                <w:rFonts w:hint="default"/>
                <w:sz w:val="24"/>
                <w:szCs w:val="24"/>
                <w:lang w:val="en-US" w:eastAsia="zh-CN"/>
              </w:rPr>
            </w:pPr>
            <w:r>
              <w:rPr>
                <w:rFonts w:hint="eastAsia"/>
                <w:sz w:val="24"/>
                <w:szCs w:val="24"/>
                <w:lang w:val="en-US" w:eastAsia="zh-CN"/>
              </w:rPr>
              <w:t>不符合及纠正措施</w:t>
            </w:r>
          </w:p>
        </w:tc>
        <w:tc>
          <w:tcPr>
            <w:tcW w:w="960" w:type="dxa"/>
          </w:tcPr>
          <w:p>
            <w:pPr>
              <w:rPr>
                <w:rFonts w:hint="eastAsia"/>
                <w:sz w:val="24"/>
                <w:szCs w:val="24"/>
                <w:lang w:val="en-US" w:eastAsia="zh-CN"/>
              </w:rPr>
            </w:pPr>
            <w:r>
              <w:rPr>
                <w:rFonts w:hint="eastAsia"/>
                <w:sz w:val="24"/>
                <w:szCs w:val="24"/>
                <w:lang w:val="en-US" w:eastAsia="zh-CN"/>
              </w:rPr>
              <w:t>En10.1</w:t>
            </w:r>
          </w:p>
          <w:p>
            <w:pPr>
              <w:rPr>
                <w:rFonts w:hint="default"/>
                <w:sz w:val="24"/>
                <w:szCs w:val="24"/>
                <w:lang w:val="en-US" w:eastAsia="zh-CN"/>
              </w:rPr>
            </w:pPr>
          </w:p>
        </w:tc>
        <w:tc>
          <w:tcPr>
            <w:tcW w:w="10852" w:type="dxa"/>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2020年目标：单位产品能耗≦34.21kgce/t，2020年实际完成情况：单位产品能耗44.78kgce/t，没有完成目标。企业进行原因分析，并制定节能措施。</w:t>
            </w:r>
          </w:p>
        </w:tc>
        <w:tc>
          <w:tcPr>
            <w:tcW w:w="737" w:type="dxa"/>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160" w:type="dxa"/>
          </w:tcPr>
          <w:p>
            <w:pPr>
              <w:rPr>
                <w:rFonts w:hint="eastAsia"/>
                <w:sz w:val="24"/>
                <w:szCs w:val="24"/>
                <w:lang w:val="en-US" w:eastAsia="zh-CN"/>
              </w:rPr>
            </w:pPr>
            <w:r>
              <w:rPr>
                <w:rFonts w:hint="eastAsia"/>
                <w:sz w:val="24"/>
                <w:szCs w:val="24"/>
                <w:lang w:val="en-US" w:eastAsia="zh-CN"/>
              </w:rPr>
              <w:t>持续改进</w:t>
            </w:r>
          </w:p>
        </w:tc>
        <w:tc>
          <w:tcPr>
            <w:tcW w:w="960" w:type="dxa"/>
          </w:tcPr>
          <w:p>
            <w:pPr>
              <w:rPr>
                <w:rFonts w:hint="default"/>
                <w:sz w:val="24"/>
                <w:szCs w:val="24"/>
                <w:lang w:val="en-US" w:eastAsia="zh-CN"/>
              </w:rPr>
            </w:pPr>
            <w:r>
              <w:rPr>
                <w:rFonts w:hint="eastAsia"/>
                <w:sz w:val="24"/>
                <w:szCs w:val="24"/>
                <w:lang w:val="en-US" w:eastAsia="zh-CN"/>
              </w:rPr>
              <w:t>En10.2</w:t>
            </w:r>
          </w:p>
        </w:tc>
        <w:tc>
          <w:tcPr>
            <w:tcW w:w="10852" w:type="dxa"/>
          </w:tcPr>
          <w:p>
            <w:pPr>
              <w:rPr>
                <w:rFonts w:hint="default"/>
                <w:sz w:val="24"/>
                <w:szCs w:val="24"/>
                <w:lang w:val="en-US" w:eastAsia="zh-CN"/>
              </w:rPr>
            </w:pPr>
            <w:r>
              <w:rPr>
                <w:rFonts w:hint="eastAsia"/>
                <w:sz w:val="24"/>
                <w:szCs w:val="24"/>
                <w:lang w:val="en-US" w:eastAsia="zh-CN"/>
              </w:rPr>
              <w:t>公司利用日常跑冒滴漏检查、每月的能源目标考核、每年度的内部审核和管理评审，进行持续改进工作。</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bl>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22"/>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23"/>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4D1777A"/>
    <w:rsid w:val="08AA61DA"/>
    <w:rsid w:val="108219C2"/>
    <w:rsid w:val="11763077"/>
    <w:rsid w:val="142B734C"/>
    <w:rsid w:val="1A166715"/>
    <w:rsid w:val="1D5C5E94"/>
    <w:rsid w:val="1E92443A"/>
    <w:rsid w:val="1F303612"/>
    <w:rsid w:val="25726879"/>
    <w:rsid w:val="265042EE"/>
    <w:rsid w:val="29550A82"/>
    <w:rsid w:val="2CC56303"/>
    <w:rsid w:val="356819F8"/>
    <w:rsid w:val="37022033"/>
    <w:rsid w:val="37F425F1"/>
    <w:rsid w:val="3AE56AE5"/>
    <w:rsid w:val="3FD87230"/>
    <w:rsid w:val="400168D5"/>
    <w:rsid w:val="49907112"/>
    <w:rsid w:val="4C39562D"/>
    <w:rsid w:val="4EB06CE3"/>
    <w:rsid w:val="5062731F"/>
    <w:rsid w:val="51B355DC"/>
    <w:rsid w:val="51CB0431"/>
    <w:rsid w:val="55394D7B"/>
    <w:rsid w:val="56955064"/>
    <w:rsid w:val="584901DD"/>
    <w:rsid w:val="58F45158"/>
    <w:rsid w:val="5EA12B9A"/>
    <w:rsid w:val="5F235654"/>
    <w:rsid w:val="60A703C5"/>
    <w:rsid w:val="619A01E9"/>
    <w:rsid w:val="61F6146D"/>
    <w:rsid w:val="69666ED4"/>
    <w:rsid w:val="6A997D30"/>
    <w:rsid w:val="6A9B3CFC"/>
    <w:rsid w:val="6A9E0A8D"/>
    <w:rsid w:val="6B317C7C"/>
    <w:rsid w:val="6B6A66A5"/>
    <w:rsid w:val="6C3312C7"/>
    <w:rsid w:val="6C852FED"/>
    <w:rsid w:val="72F0497F"/>
    <w:rsid w:val="75532C29"/>
    <w:rsid w:val="77DF039E"/>
    <w:rsid w:val="788C0C63"/>
    <w:rsid w:val="7A895573"/>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outlineLvl w:val="0"/>
    </w:pPr>
    <w:rPr>
      <w:b/>
      <w:sz w:val="28"/>
      <w:szCs w:val="2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afterLines="0"/>
      <w:ind w:left="420" w:leftChars="200" w:firstLine="420" w:firstLineChars="200"/>
    </w:pPr>
    <w:rPr>
      <w:rFonts w:ascii="Times New Roman" w:hAnsi="Times New Roman"/>
      <w:szCs w:val="24"/>
    </w:rPr>
  </w:style>
  <w:style w:type="paragraph" w:styleId="3">
    <w:name w:val="Body Text Indent"/>
    <w:basedOn w:val="1"/>
    <w:qFormat/>
    <w:uiPriority w:val="0"/>
    <w:pPr>
      <w:spacing w:line="500" w:lineRule="exact"/>
      <w:ind w:firstLine="600"/>
    </w:pPr>
    <w:rPr>
      <w:sz w:val="30"/>
    </w:rPr>
  </w:style>
  <w:style w:type="paragraph" w:styleId="7">
    <w:name w:val="Body Text"/>
    <w:basedOn w:val="1"/>
    <w:qFormat/>
    <w:uiPriority w:val="0"/>
    <w:rPr>
      <w:sz w:val="24"/>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paragraph" w:styleId="12">
    <w:name w:val="Body Text First Indent"/>
    <w:basedOn w:val="7"/>
    <w:unhideWhenUsed/>
    <w:qFormat/>
    <w:uiPriority w:val="99"/>
    <w:pPr>
      <w:ind w:firstLine="420" w:firstLineChars="100"/>
    </w:pPr>
  </w:style>
  <w:style w:type="table" w:styleId="14">
    <w:name w:val="Table Grid"/>
    <w:basedOn w:val="13"/>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paragraph" w:customStyle="1" w:styleId="1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18">
    <w:name w:val="表格文字"/>
    <w:basedOn w:val="1"/>
    <w:qFormat/>
    <w:uiPriority w:val="0"/>
    <w:pPr>
      <w:spacing w:before="25" w:after="25"/>
    </w:pPr>
    <w:rPr>
      <w:bCs/>
      <w:spacing w:val="10"/>
    </w:rPr>
  </w:style>
  <w:style w:type="character" w:customStyle="1" w:styleId="19">
    <w:name w:val="页眉 字符"/>
    <w:basedOn w:val="15"/>
    <w:link w:val="10"/>
    <w:qFormat/>
    <w:uiPriority w:val="99"/>
    <w:rPr>
      <w:rFonts w:ascii="Times New Roman" w:hAnsi="Times New Roman" w:eastAsia="宋体" w:cs="Times New Roman"/>
      <w:sz w:val="18"/>
      <w:szCs w:val="18"/>
    </w:rPr>
  </w:style>
  <w:style w:type="character" w:customStyle="1" w:styleId="20">
    <w:name w:val="页脚 字符"/>
    <w:basedOn w:val="15"/>
    <w:link w:val="9"/>
    <w:qFormat/>
    <w:uiPriority w:val="99"/>
    <w:rPr>
      <w:rFonts w:ascii="Times New Roman" w:hAnsi="Times New Roman" w:eastAsia="宋体" w:cs="Times New Roman"/>
      <w:sz w:val="18"/>
      <w:szCs w:val="18"/>
    </w:rPr>
  </w:style>
  <w:style w:type="character" w:customStyle="1" w:styleId="21">
    <w:name w:val="批注框文本 字符"/>
    <w:basedOn w:val="15"/>
    <w:link w:val="8"/>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4">
    <w:name w:val="List Paragraph"/>
    <w:basedOn w:val="1"/>
    <w:qFormat/>
    <w:uiPriority w:val="34"/>
    <w:pPr>
      <w:ind w:firstLine="420" w:firstLineChars="200"/>
    </w:pPr>
  </w:style>
  <w:style w:type="character" w:customStyle="1" w:styleId="25">
    <w:name w:val="g"/>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457;&#26680;&#36164;&#26009;\&#33021;&#28304;\&#22269;&#26631;&#32852;&#21512;\2021.11-12\&#27743;&#33487;&#32654;&#28070;&#39135;&#21697;&#26377;&#38480;&#20844;&#21496;\&#27700;&#12289;&#30005;&#12289;&#26612;&#27833;&#12289;&#27773;&#27833;2019&#24180;-2021&#24180;&#33021;&#28304;&#28040;&#32791;&#32479;&#35745;&#349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'[水、电、柴油、汽油2019年-2021年能源消耗统计表(2)(3).xls]Sheet1'!$B$3:$B$5</c:f>
              <c:strCache>
                <c:ptCount val="3"/>
                <c:pt idx="0">
                  <c:v>2019年</c:v>
                </c:pt>
                <c:pt idx="1">
                  <c:v>2020年</c:v>
                </c:pt>
                <c:pt idx="2">
                  <c:v>2021年1-11月</c:v>
                </c:pt>
              </c:strCache>
            </c:strRef>
          </c:cat>
          <c:val>
            <c:numRef>
              <c:f>'[水、电、柴油、汽油2019年-2021年能源消耗统计表(2)(3).xls]Sheet1'!$C$3:$C$5</c:f>
              <c:numCache>
                <c:formatCode>General</c:formatCode>
                <c:ptCount val="3"/>
                <c:pt idx="0">
                  <c:v>34.2</c:v>
                </c:pt>
                <c:pt idx="1">
                  <c:v>44.78</c:v>
                </c:pt>
                <c:pt idx="2">
                  <c:v>43.2</c:v>
                </c:pt>
              </c:numCache>
            </c:numRef>
          </c:val>
          <c:smooth val="0"/>
        </c:ser>
        <c:dLbls>
          <c:showLegendKey val="0"/>
          <c:showVal val="1"/>
          <c:showCatName val="0"/>
          <c:showSerName val="0"/>
          <c:showPercent val="0"/>
          <c:showBubbleSize val="0"/>
        </c:dLbls>
        <c:marker val="0"/>
        <c:smooth val="0"/>
        <c:axId val="730233815"/>
        <c:axId val="74093173"/>
      </c:lineChart>
      <c:catAx>
        <c:axId val="730233815"/>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年份</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93173"/>
        <c:crosses val="autoZero"/>
        <c:auto val="1"/>
        <c:lblAlgn val="ctr"/>
        <c:lblOffset val="100"/>
        <c:noMultiLvlLbl val="0"/>
      </c:catAx>
      <c:valAx>
        <c:axId val="7409317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单位产品能耗</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2338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4</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2021-12-24T03:00:57Z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