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技术部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曹阳</w:t>
            </w:r>
            <w:r>
              <w:rPr>
                <w:sz w:val="24"/>
                <w:szCs w:val="24"/>
              </w:rPr>
              <w:t xml:space="preserve">       </w:t>
            </w:r>
            <w:r>
              <w:rPr>
                <w:rFonts w:hint="eastAsia"/>
                <w:sz w:val="24"/>
                <w:szCs w:val="24"/>
              </w:rPr>
              <w:t>陪同人员：</w:t>
            </w:r>
            <w:r>
              <w:rPr>
                <w:rFonts w:hint="eastAsia"/>
                <w:sz w:val="24"/>
                <w:szCs w:val="24"/>
                <w:lang w:val="en-US" w:eastAsia="zh-CN"/>
              </w:rPr>
              <w:t>胡立蕆</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周涛、李倩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11.16</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cs="Times New Roman"/>
                <w:bCs w:val="0"/>
                <w:spacing w:val="0"/>
                <w:kern w:val="2"/>
                <w:sz w:val="21"/>
                <w:szCs w:val="21"/>
                <w:lang w:val="en-US" w:eastAsia="zh-CN" w:bidi="ar-SA"/>
              </w:rPr>
              <w:t xml:space="preserve"> </w:t>
            </w:r>
            <w:r>
              <w:rPr>
                <w:rFonts w:hint="eastAsia" w:ascii="Times New Roman" w:hAnsi="Times New Roman" w:eastAsia="宋体" w:cs="Times New Roman"/>
                <w:bCs w:val="0"/>
                <w:spacing w:val="0"/>
                <w:kern w:val="2"/>
                <w:sz w:val="21"/>
                <w:szCs w:val="21"/>
                <w:lang w:val="en-US" w:eastAsia="zh-CN" w:bidi="ar-SA"/>
              </w:rPr>
              <w:t>En:5.3/6.2/8.1/</w:t>
            </w:r>
            <w:r>
              <w:rPr>
                <w:rFonts w:hint="eastAsia" w:cs="Times New Roman"/>
                <w:bCs w:val="0"/>
                <w:spacing w:val="0"/>
                <w:kern w:val="2"/>
                <w:sz w:val="21"/>
                <w:szCs w:val="21"/>
                <w:lang w:val="en-US" w:eastAsia="zh-CN" w:bidi="ar-SA"/>
              </w:rPr>
              <w:t>8.2</w:t>
            </w:r>
            <w:r>
              <w:rPr>
                <w:rFonts w:hint="eastAsia" w:ascii="Times New Roman" w:hAnsi="Times New Roman" w:eastAsia="宋体" w:cs="Times New Roman"/>
                <w:bCs w:val="0"/>
                <w:spacing w:val="0"/>
                <w:kern w:val="2"/>
                <w:sz w:val="21"/>
                <w:szCs w:val="21"/>
                <w:lang w:val="en-US" w:eastAsia="zh-CN" w:bidi="ar-SA"/>
              </w:rPr>
              <w:t xml:space="preserve">/9.1.1/10.1 </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lang w:val="en-US" w:eastAsia="zh-CN"/>
              </w:rPr>
            </w:pPr>
            <w:r>
              <w:rPr>
                <w:rFonts w:hint="eastAsia" w:ascii="宋体" w:hAnsi="宋体"/>
                <w:szCs w:val="21"/>
              </w:rPr>
              <w:t>组织的岗位、</w:t>
            </w:r>
            <w:r>
              <w:rPr>
                <w:rFonts w:hint="eastAsia"/>
                <w:lang w:val="en-US" w:eastAsia="zh-CN"/>
              </w:rPr>
              <w:t>职责权限</w:t>
            </w:r>
          </w:p>
        </w:tc>
        <w:tc>
          <w:tcPr>
            <w:tcW w:w="960" w:type="dxa"/>
          </w:tcPr>
          <w:p>
            <w:pPr>
              <w:rPr>
                <w:rFonts w:hint="default" w:eastAsia="宋体"/>
                <w:lang w:val="en-US" w:eastAsia="zh-CN"/>
              </w:rPr>
            </w:pPr>
            <w:r>
              <w:rPr>
                <w:rFonts w:hint="eastAsia"/>
                <w:lang w:val="en-US" w:eastAsia="zh-CN"/>
              </w:rPr>
              <w:t>En5.3</w:t>
            </w:r>
          </w:p>
        </w:tc>
        <w:tc>
          <w:tcPr>
            <w:tcW w:w="10852"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技术质量部 管理职责：</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a) </w:t>
            </w:r>
            <w:r>
              <w:rPr>
                <w:rFonts w:hint="default" w:ascii="宋体" w:hAnsi="宋体" w:eastAsia="宋体" w:cs="宋体"/>
                <w:color w:val="auto"/>
                <w:sz w:val="24"/>
                <w:szCs w:val="24"/>
                <w:lang w:val="en-US" w:eastAsia="zh-CN"/>
              </w:rPr>
              <w:t>负责</w:t>
            </w:r>
            <w:r>
              <w:rPr>
                <w:rFonts w:hint="eastAsia" w:ascii="宋体" w:hAnsi="宋体" w:eastAsia="宋体" w:cs="宋体"/>
                <w:color w:val="auto"/>
                <w:sz w:val="24"/>
                <w:szCs w:val="24"/>
                <w:lang w:val="en-US" w:eastAsia="zh-CN"/>
              </w:rPr>
              <w:t>能源</w:t>
            </w:r>
            <w:r>
              <w:rPr>
                <w:rFonts w:hint="default" w:ascii="宋体" w:hAnsi="宋体" w:eastAsia="宋体" w:cs="宋体"/>
                <w:color w:val="auto"/>
                <w:sz w:val="24"/>
                <w:szCs w:val="24"/>
                <w:lang w:val="en-US" w:eastAsia="zh-CN"/>
              </w:rPr>
              <w:t>有关原材料的入公司复验工作；</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b) </w:t>
            </w:r>
            <w:r>
              <w:rPr>
                <w:rFonts w:hint="default" w:ascii="宋体" w:hAnsi="宋体" w:eastAsia="宋体" w:cs="宋体"/>
                <w:color w:val="auto"/>
                <w:sz w:val="24"/>
                <w:szCs w:val="24"/>
                <w:lang w:val="en-US" w:eastAsia="zh-CN"/>
              </w:rPr>
              <w:t>参与内部审核；</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c) </w:t>
            </w:r>
            <w:r>
              <w:rPr>
                <w:rFonts w:hint="default" w:ascii="宋体" w:hAnsi="宋体" w:eastAsia="宋体" w:cs="宋体"/>
                <w:color w:val="auto"/>
                <w:sz w:val="24"/>
                <w:szCs w:val="24"/>
                <w:lang w:val="en-US" w:eastAsia="zh-CN"/>
              </w:rPr>
              <w:t>负责本部门</w:t>
            </w:r>
            <w:r>
              <w:rPr>
                <w:rFonts w:hint="eastAsia" w:ascii="宋体" w:hAnsi="宋体" w:eastAsia="宋体" w:cs="宋体"/>
                <w:color w:val="auto"/>
                <w:sz w:val="24"/>
                <w:szCs w:val="24"/>
                <w:lang w:val="en-US" w:eastAsia="zh-CN"/>
              </w:rPr>
              <w:t>能源因素</w:t>
            </w:r>
            <w:r>
              <w:rPr>
                <w:rFonts w:hint="default" w:ascii="宋体" w:hAnsi="宋体" w:eastAsia="宋体" w:cs="宋体"/>
                <w:color w:val="auto"/>
                <w:sz w:val="24"/>
                <w:szCs w:val="24"/>
                <w:lang w:val="en-US" w:eastAsia="zh-CN"/>
              </w:rPr>
              <w:t>的识别、评价及控制；</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e) </w:t>
            </w:r>
            <w:r>
              <w:rPr>
                <w:rFonts w:hint="default" w:ascii="宋体" w:hAnsi="宋体" w:eastAsia="宋体" w:cs="宋体"/>
                <w:color w:val="auto"/>
                <w:sz w:val="24"/>
                <w:szCs w:val="24"/>
                <w:lang w:val="en-US" w:eastAsia="zh-CN"/>
              </w:rPr>
              <w:t>负责新产品、新技术、新设备、新工艺、改扩建、技术改造中的</w:t>
            </w:r>
            <w:r>
              <w:rPr>
                <w:rFonts w:hint="eastAsia" w:ascii="宋体" w:hAnsi="宋体" w:eastAsia="宋体" w:cs="宋体"/>
                <w:color w:val="auto"/>
                <w:sz w:val="24"/>
                <w:szCs w:val="24"/>
                <w:lang w:val="en-US" w:eastAsia="zh-CN"/>
              </w:rPr>
              <w:t>能源</w:t>
            </w:r>
            <w:r>
              <w:rPr>
                <w:rFonts w:hint="default" w:ascii="宋体" w:hAnsi="宋体" w:eastAsia="宋体" w:cs="宋体"/>
                <w:color w:val="auto"/>
                <w:sz w:val="24"/>
                <w:szCs w:val="24"/>
                <w:lang w:val="en-US" w:eastAsia="zh-CN"/>
              </w:rPr>
              <w:t>活动三同时；</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f) </w:t>
            </w:r>
            <w:r>
              <w:rPr>
                <w:rFonts w:hint="default" w:ascii="宋体" w:hAnsi="宋体" w:eastAsia="宋体" w:cs="宋体"/>
                <w:color w:val="auto"/>
                <w:sz w:val="24"/>
                <w:szCs w:val="24"/>
                <w:lang w:val="en-US" w:eastAsia="zh-CN"/>
              </w:rPr>
              <w:t>负责</w:t>
            </w:r>
            <w:r>
              <w:rPr>
                <w:rFonts w:hint="eastAsia" w:ascii="宋体" w:hAnsi="宋体" w:eastAsia="宋体" w:cs="宋体"/>
                <w:color w:val="auto"/>
                <w:sz w:val="24"/>
                <w:szCs w:val="24"/>
                <w:lang w:val="en-US" w:eastAsia="zh-CN"/>
              </w:rPr>
              <w:t>产品</w:t>
            </w:r>
            <w:r>
              <w:rPr>
                <w:rFonts w:hint="default" w:ascii="宋体" w:hAnsi="宋体" w:eastAsia="宋体" w:cs="宋体"/>
                <w:color w:val="auto"/>
                <w:sz w:val="24"/>
                <w:szCs w:val="24"/>
                <w:lang w:val="en-US" w:eastAsia="zh-CN"/>
              </w:rPr>
              <w:t>的设计、使用、维护中</w:t>
            </w:r>
            <w:r>
              <w:rPr>
                <w:rFonts w:hint="eastAsia" w:ascii="宋体" w:hAnsi="宋体" w:eastAsia="宋体" w:cs="宋体"/>
                <w:color w:val="auto"/>
                <w:sz w:val="24"/>
                <w:szCs w:val="24"/>
                <w:lang w:val="en-US" w:eastAsia="zh-CN"/>
              </w:rPr>
              <w:t>节能</w:t>
            </w:r>
            <w:r>
              <w:rPr>
                <w:rFonts w:hint="default" w:ascii="宋体" w:hAnsi="宋体" w:eastAsia="宋体" w:cs="宋体"/>
                <w:color w:val="auto"/>
                <w:sz w:val="24"/>
                <w:szCs w:val="24"/>
                <w:lang w:val="en-US" w:eastAsia="zh-CN"/>
              </w:rPr>
              <w:t>活动的开展；</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g) </w:t>
            </w:r>
            <w:r>
              <w:rPr>
                <w:rFonts w:hint="default" w:ascii="宋体" w:hAnsi="宋体" w:eastAsia="宋体" w:cs="宋体"/>
                <w:color w:val="auto"/>
                <w:sz w:val="24"/>
                <w:szCs w:val="24"/>
                <w:lang w:val="en-US" w:eastAsia="zh-CN"/>
              </w:rPr>
              <w:t>负责组织编制设备、工艺安全操作规程。</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h) 负责新、改、扩建项目的“三同时”管理，并参与完工验收；</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j) 负责技术质量管理活动中的环境、职业健康安全</w:t>
            </w:r>
            <w:r>
              <w:rPr>
                <w:rFonts w:hint="eastAsia" w:ascii="宋体" w:hAnsi="宋体" w:eastAsia="宋体" w:cs="宋体"/>
                <w:color w:val="auto"/>
                <w:sz w:val="24"/>
                <w:szCs w:val="24"/>
                <w:lang w:val="en-US" w:eastAsia="zh-CN"/>
              </w:rPr>
              <w:t>、节能</w:t>
            </w:r>
            <w:r>
              <w:rPr>
                <w:rFonts w:hint="default" w:ascii="宋体" w:hAnsi="宋体" w:eastAsia="宋体" w:cs="宋体"/>
                <w:color w:val="auto"/>
                <w:sz w:val="24"/>
                <w:szCs w:val="24"/>
                <w:lang w:val="en-US" w:eastAsia="zh-CN"/>
              </w:rPr>
              <w:t>相关活动（包括进货检验、供方技术条件、基于环境职业健康安全的工艺改进等）的实施。</w:t>
            </w:r>
          </w:p>
        </w:tc>
        <w:tc>
          <w:tcPr>
            <w:tcW w:w="737" w:type="dxa"/>
          </w:tcPr>
          <w:p/>
          <w:p>
            <w:pPr>
              <w:pStyle w:val="2"/>
            </w:pPr>
          </w:p>
          <w:p>
            <w:pPr>
              <w:pStyle w:val="2"/>
              <w:ind w:left="0" w:leftChars="0" w:firstLine="0" w:firstLineChars="0"/>
            </w:pPr>
          </w:p>
          <w:p>
            <w:pPr>
              <w:pStyle w:val="2"/>
            </w:pPr>
          </w:p>
          <w:p>
            <w:pPr>
              <w:pStyle w:val="2"/>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能源目标\能源指及其实现的策划</w:t>
            </w:r>
          </w:p>
        </w:tc>
        <w:tc>
          <w:tcPr>
            <w:tcW w:w="960"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En6.2</w:t>
            </w:r>
          </w:p>
        </w:tc>
        <w:tc>
          <w:tcPr>
            <w:tcW w:w="10852"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执行《管理手册》及《方针目标管理制度》</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编制了文件化的《目标、能源指标及管理方案》；</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本部门执行公司的能源总目标；</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日常办公注意节水节电、节约汽油及其他办公耗材的消耗、避免不必要的浪费；</w:t>
            </w:r>
          </w:p>
        </w:tc>
        <w:tc>
          <w:tcPr>
            <w:tcW w:w="737" w:type="dxa"/>
          </w:tcPr>
          <w:p>
            <w:pPr>
              <w:rPr>
                <w:rFonts w:hint="eastAsia" w:ascii="宋体" w:hAnsi="宋体" w:eastAsia="宋体" w:cs="宋体"/>
                <w:color w:val="auto"/>
                <w:sz w:val="24"/>
                <w:szCs w:val="24"/>
                <w:lang w:val="en-US" w:eastAsia="zh-CN"/>
              </w:rPr>
            </w:pPr>
          </w:p>
          <w:p>
            <w:pPr>
              <w:ind w:firstLine="210" w:firstLineChars="100"/>
              <w:rPr>
                <w:rFonts w:hint="eastAsia" w:ascii="宋体" w:hAnsi="宋体" w:eastAsia="宋体" w:cs="宋体"/>
                <w:color w:val="auto"/>
                <w:sz w:val="24"/>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运行控制</w:t>
            </w:r>
          </w:p>
        </w:tc>
        <w:tc>
          <w:tcPr>
            <w:tcW w:w="960"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En8.1/</w:t>
            </w:r>
          </w:p>
        </w:tc>
        <w:tc>
          <w:tcPr>
            <w:tcW w:w="10852"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编制了《能源管理制度》、《节能降耗管理制度》、《设备管理制度》等；</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运行情况：</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节电控制：综合部</w:t>
            </w:r>
            <w:r>
              <w:rPr>
                <w:rFonts w:hint="default" w:ascii="宋体" w:hAnsi="宋体" w:eastAsia="宋体" w:cs="宋体"/>
                <w:color w:val="auto"/>
                <w:sz w:val="24"/>
                <w:szCs w:val="24"/>
                <w:lang w:val="en-US" w:eastAsia="zh-CN"/>
              </w:rPr>
              <w:t>全体人员树立节约用电、安全用电意识。在工作需要时开灯，人离</w:t>
            </w:r>
            <w:r>
              <w:rPr>
                <w:rFonts w:hint="eastAsia" w:ascii="宋体" w:hAnsi="宋体" w:eastAsia="宋体" w:cs="宋体"/>
                <w:color w:val="auto"/>
                <w:sz w:val="24"/>
                <w:szCs w:val="24"/>
                <w:lang w:val="en-US" w:eastAsia="zh-CN"/>
              </w:rPr>
              <w:t>综合部</w:t>
            </w:r>
            <w:r>
              <w:rPr>
                <w:rFonts w:hint="default" w:ascii="宋体" w:hAnsi="宋体" w:eastAsia="宋体" w:cs="宋体"/>
                <w:color w:val="auto"/>
                <w:sz w:val="24"/>
                <w:szCs w:val="24"/>
                <w:lang w:val="en-US" w:eastAsia="zh-CN"/>
              </w:rPr>
              <w:t xml:space="preserve">必须随手关灯，光线好的房间，必须关闭照明设备。走廊、楼道里的灯要随手关闭，办公场所应关闭不必要的夜间照明。  </w:t>
            </w:r>
            <w:r>
              <w:rPr>
                <w:rFonts w:hint="eastAsia" w:ascii="宋体" w:hAnsi="宋体" w:eastAsia="宋体" w:cs="宋体"/>
                <w:color w:val="auto"/>
                <w:sz w:val="24"/>
                <w:szCs w:val="24"/>
                <w:lang w:val="en-US" w:eastAsia="zh-CN"/>
              </w:rPr>
              <w:t>现场观察符合要求</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尽量少用空调设备，必须使用空调时，按统一规定执行</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如发现下班后未关闭空调设备，对部门负责人</w:t>
            </w:r>
            <w:r>
              <w:rPr>
                <w:rFonts w:hint="eastAsia" w:ascii="宋体" w:hAnsi="宋体" w:eastAsia="宋体" w:cs="宋体"/>
                <w:color w:val="auto"/>
                <w:sz w:val="24"/>
                <w:szCs w:val="24"/>
                <w:lang w:val="en-US" w:eastAsia="zh-CN"/>
              </w:rPr>
              <w:t>进行批评教育，现场观察符合要求</w:t>
            </w:r>
            <w:r>
              <w:rPr>
                <w:rFonts w:hint="eastAsia" w:ascii="宋体" w:hAnsi="宋体" w:cs="宋体"/>
                <w:color w:val="auto"/>
                <w:sz w:val="24"/>
                <w:szCs w:val="24"/>
                <w:lang w:val="en-US" w:eastAsia="zh-CN"/>
              </w:rPr>
              <w:t>。</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 xml:space="preserve">电脑设备不使用时，要进入低能耗休眠状态，减少待机能耗。工作完后，及时关闭计算机、打印机、传真机等设备，下班后无待机现象。  </w:t>
            </w:r>
            <w:r>
              <w:rPr>
                <w:rFonts w:hint="eastAsia" w:ascii="宋体" w:hAnsi="宋体" w:eastAsia="宋体" w:cs="宋体"/>
                <w:color w:val="auto"/>
                <w:sz w:val="24"/>
                <w:szCs w:val="24"/>
                <w:lang w:val="en-US" w:eastAsia="zh-CN"/>
              </w:rPr>
              <w:t>现场观察符合要求</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各</w:t>
            </w:r>
            <w:r>
              <w:rPr>
                <w:rFonts w:hint="eastAsia" w:ascii="宋体" w:hAnsi="宋体" w:eastAsia="宋体" w:cs="宋体"/>
                <w:color w:val="auto"/>
                <w:sz w:val="24"/>
                <w:szCs w:val="24"/>
                <w:lang w:val="en-US" w:eastAsia="zh-CN"/>
              </w:rPr>
              <w:t>综合部</w:t>
            </w:r>
            <w:r>
              <w:rPr>
                <w:rFonts w:hint="default" w:ascii="宋体" w:hAnsi="宋体" w:eastAsia="宋体" w:cs="宋体"/>
                <w:color w:val="auto"/>
                <w:sz w:val="24"/>
                <w:szCs w:val="24"/>
                <w:lang w:val="en-US" w:eastAsia="zh-CN"/>
              </w:rPr>
              <w:t>电脑、空调、电扇、饮水机等一切电器设备应在下班时确保关闭</w:t>
            </w:r>
            <w:r>
              <w:rPr>
                <w:rFonts w:hint="eastAsia" w:ascii="宋体" w:hAnsi="宋体" w:eastAsia="宋体" w:cs="宋体"/>
                <w:color w:val="auto"/>
                <w:sz w:val="24"/>
                <w:szCs w:val="24"/>
                <w:lang w:val="en-US" w:eastAsia="zh-CN"/>
              </w:rPr>
              <w:t>.现场观察，符合要求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严禁在</w:t>
            </w:r>
            <w:r>
              <w:rPr>
                <w:rFonts w:hint="eastAsia" w:ascii="宋体" w:hAnsi="宋体" w:eastAsia="宋体" w:cs="宋体"/>
                <w:color w:val="auto"/>
                <w:sz w:val="24"/>
                <w:szCs w:val="24"/>
                <w:lang w:val="en-US" w:eastAsia="zh-CN"/>
              </w:rPr>
              <w:t>综合部</w:t>
            </w:r>
            <w:r>
              <w:rPr>
                <w:rFonts w:hint="default" w:ascii="宋体" w:hAnsi="宋体" w:eastAsia="宋体" w:cs="宋体"/>
                <w:color w:val="auto"/>
                <w:sz w:val="24"/>
                <w:szCs w:val="24"/>
                <w:lang w:val="en-US" w:eastAsia="zh-CN"/>
              </w:rPr>
              <w:t>使用电炉、电暖气、电热水壶等高压负荷电器，不得随意搭接电线设备</w:t>
            </w:r>
            <w:r>
              <w:rPr>
                <w:rFonts w:hint="eastAsia" w:ascii="宋体" w:hAnsi="宋体" w:eastAsia="宋体" w:cs="宋体"/>
                <w:color w:val="auto"/>
                <w:sz w:val="24"/>
                <w:szCs w:val="24"/>
                <w:lang w:val="en-US" w:eastAsia="zh-CN"/>
              </w:rPr>
              <w:t>.现场观察符合要求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综合部区域：节水，水龙头没有滴水情况，中水擦地、浇水、冲厕所</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能源管理：现场采用声控节能灯，未发现有漏水和浪费电能的现象。</w:t>
            </w:r>
          </w:p>
        </w:tc>
        <w:tc>
          <w:tcPr>
            <w:tcW w:w="737" w:type="dxa"/>
          </w:tcPr>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ind w:left="0" w:leftChars="0" w:firstLine="0" w:firstLineChars="0"/>
              <w:rPr>
                <w:rFonts w:hint="eastAsia" w:ascii="宋体" w:hAnsi="宋体" w:eastAsia="宋体" w:cs="宋体"/>
                <w:color w:val="auto"/>
                <w:sz w:val="24"/>
                <w:szCs w:val="24"/>
                <w:lang w:val="en-US" w:eastAsia="zh-CN"/>
              </w:rPr>
            </w:pPr>
          </w:p>
          <w:p>
            <w:pPr>
              <w:pStyle w:val="2"/>
              <w:ind w:left="0" w:leftChars="0" w:firstLine="0" w:firstLineChars="0"/>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ascii="宋体" w:hAnsi="宋体" w:eastAsia="宋体" w:cs="宋体"/>
                <w:color w:val="auto"/>
                <w:sz w:val="24"/>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w:t>
            </w:r>
          </w:p>
        </w:tc>
        <w:tc>
          <w:tcPr>
            <w:tcW w:w="960"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En8.2</w:t>
            </w:r>
          </w:p>
        </w:tc>
        <w:tc>
          <w:tcPr>
            <w:tcW w:w="10852"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制定并执行《设计控制程序》，考虑能源性能改进机会和在设计新的、改进的和翻新的设施、设备、系统和能源使用过程时的操作控制，这些过程在计划或预期的使用寿命内可能对其能源性能产生重大影响。</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在适用的情况下，能源性能考虑的结果应纳入规范、设计和采购活动。</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当有设计发生时，公司保留与能源性能相关的设计活动的文档化信息。</w:t>
            </w:r>
          </w:p>
        </w:tc>
        <w:tc>
          <w:tcPr>
            <w:tcW w:w="737" w:type="dxa"/>
          </w:tcPr>
          <w:p>
            <w:pPr>
              <w:rPr>
                <w:rFonts w:hint="eastAsia"/>
                <w:lang w:val="en-US" w:eastAsia="zh-CN"/>
              </w:rPr>
            </w:pPr>
          </w:p>
          <w:p>
            <w:pPr>
              <w:pStyle w:val="2"/>
              <w:rPr>
                <w:rFonts w:hint="eastAsia" w:ascii="宋体" w:hAnsi="宋体" w:cs="宋体"/>
                <w:color w:val="auto"/>
                <w:sz w:val="24"/>
                <w:szCs w:val="24"/>
                <w:lang w:val="en-US" w:eastAsia="zh-CN"/>
              </w:rPr>
            </w:pPr>
          </w:p>
          <w:p>
            <w:pPr>
              <w:pStyle w:val="2"/>
              <w:rPr>
                <w:rFonts w:hint="default"/>
                <w:lang w:val="en-US" w:eastAsia="zh-CN"/>
              </w:rPr>
            </w:pPr>
            <w:bookmarkStart w:id="0" w:name="_GoBack"/>
            <w:bookmarkEnd w:id="0"/>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160"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不符合纠正/持续改进</w:t>
            </w:r>
          </w:p>
        </w:tc>
        <w:tc>
          <w:tcPr>
            <w:tcW w:w="960"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En10.1</w:t>
            </w:r>
          </w:p>
        </w:tc>
        <w:tc>
          <w:tcPr>
            <w:tcW w:w="10852" w:type="dxa"/>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查内审不符合1项、有不符合项内容描述、原因分析、及纠正措施的实施及验证信息；不符合纠正措施验证有效、不符合关闭；</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公司制定《纠正预防措施控制程序》，规定了纠正措施的来源,明确了对不合格项应进行原因分析,制定纠正措施计划,实施跟踪验证,确保所采取 的纠正措施满足预期要求。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内审中发现的不符合项已经采取纠正措施，整改完毕且有效。</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通过交谈，基本能清楚纠正和预防措施的控制要求。改进的示例包括纠正、纠正措施、持续改进。</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根据不同过程、不同产品和不同要求，采取不同的方法进行监视、测量和分析。无其他不符合发生。</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公司利用En方针、目标、内审和外审、数据分析、纠正和预防措施以及管理评审，识别任何改进的机会，持续改进质量管理体系的适宜性、充分性和有效性。</w:t>
            </w:r>
          </w:p>
        </w:tc>
        <w:tc>
          <w:tcPr>
            <w:tcW w:w="737" w:type="dxa"/>
          </w:tcPr>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bl>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18"/>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79D410C"/>
    <w:rsid w:val="108219C2"/>
    <w:rsid w:val="15301692"/>
    <w:rsid w:val="1D5C5E94"/>
    <w:rsid w:val="1E92443A"/>
    <w:rsid w:val="1F303612"/>
    <w:rsid w:val="25726879"/>
    <w:rsid w:val="265042EE"/>
    <w:rsid w:val="29550A82"/>
    <w:rsid w:val="2CC56303"/>
    <w:rsid w:val="37022033"/>
    <w:rsid w:val="3AA040CA"/>
    <w:rsid w:val="3FD87230"/>
    <w:rsid w:val="400168D5"/>
    <w:rsid w:val="49907112"/>
    <w:rsid w:val="4EB06CE3"/>
    <w:rsid w:val="500D7289"/>
    <w:rsid w:val="5062731F"/>
    <w:rsid w:val="51B355DC"/>
    <w:rsid w:val="51CB0431"/>
    <w:rsid w:val="56955064"/>
    <w:rsid w:val="58F45158"/>
    <w:rsid w:val="5C2C690F"/>
    <w:rsid w:val="5EA12B9A"/>
    <w:rsid w:val="60A703C5"/>
    <w:rsid w:val="619A01E9"/>
    <w:rsid w:val="6A997D30"/>
    <w:rsid w:val="6B317C7C"/>
    <w:rsid w:val="6C3312C7"/>
    <w:rsid w:val="6C852FED"/>
    <w:rsid w:val="6D35108C"/>
    <w:rsid w:val="72F0497F"/>
    <w:rsid w:val="75532C29"/>
    <w:rsid w:val="769209EF"/>
    <w:rsid w:val="77DF039E"/>
    <w:rsid w:val="788C0C63"/>
    <w:rsid w:val="7AEC0F33"/>
    <w:rsid w:val="7B407DF0"/>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table" w:styleId="11">
    <w:name w:val="Table Grid"/>
    <w:basedOn w:val="1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19">
    <w:name w:val="List Paragraph"/>
    <w:basedOn w:val="1"/>
    <w:qFormat/>
    <w:uiPriority w:val="34"/>
    <w:pPr>
      <w:ind w:firstLine="420" w:firstLineChars="200"/>
    </w:pPr>
  </w:style>
  <w:style w:type="character" w:customStyle="1" w:styleId="20">
    <w:name w:val="g"/>
    <w:basedOn w:val="12"/>
    <w:qFormat/>
    <w:uiPriority w:val="0"/>
  </w:style>
  <w:style w:type="paragraph" w:customStyle="1" w:styleId="2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2021-12-24T02:50:33Z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