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87"/>
        <w:gridCol w:w="711"/>
        <w:gridCol w:w="1416"/>
        <w:gridCol w:w="86"/>
        <w:gridCol w:w="1004"/>
        <w:gridCol w:w="934"/>
        <w:gridCol w:w="678"/>
        <w:gridCol w:w="340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江苏美润食品有限公司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泗阳县众兴镇绿都大道187号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泗阳县众兴镇绿都大道187号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张述芬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13605247667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593984949@qq.com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1300-2021-EnMs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适用于生制品（速冻饺子）生产所涉及的能源管理活动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2.10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120-2015能源管理体系 食品企业认证要求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2021年12月14日 下午至2021年12月16日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远程审核于2021年12月14日 下午至2021年12月16日 上午(共2.0天)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lang w:val="de-DE" w:eastAsia="zh-CN"/>
              </w:rPr>
            </w:pPr>
            <w:r>
              <w:rPr>
                <w:lang w:val="de-DE"/>
              </w:rPr>
              <w:t>周涛</w:t>
            </w:r>
            <w:r>
              <w:rPr>
                <w:rFonts w:hint="eastAsia"/>
                <w:lang w:val="de-DE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lang w:val="de-DE" w:eastAsia="zh-CN"/>
              </w:rPr>
              <w:t>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现场审核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lang w:val="de-DE" w:eastAsia="zh-CN"/>
              </w:rPr>
            </w:pPr>
            <w:r>
              <w:rPr>
                <w:lang w:val="de-DE"/>
              </w:rPr>
              <w:t>王宁敏</w:t>
            </w:r>
            <w:r>
              <w:rPr>
                <w:rFonts w:hint="eastAsia"/>
                <w:lang w:val="de-DE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  <w:lang w:val="de-DE" w:eastAsia="zh-CN"/>
              </w:rPr>
              <w:t>）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0000FF"/>
                <w:sz w:val="20"/>
                <w:lang w:val="en-US" w:eastAsia="zh-CN"/>
              </w:rPr>
              <w:t>远程审核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lang w:val="de-DE" w:eastAsia="zh-CN"/>
              </w:rPr>
            </w:pPr>
            <w:r>
              <w:rPr>
                <w:lang w:val="de-DE"/>
              </w:rPr>
              <w:t>李倩</w:t>
            </w:r>
            <w:r>
              <w:rPr>
                <w:rFonts w:hint="eastAsia"/>
                <w:lang w:val="de-DE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  <w:lang w:val="de-DE" w:eastAsia="zh-CN"/>
              </w:rPr>
              <w:t>）</w:t>
            </w:r>
          </w:p>
          <w:p>
            <w:pPr>
              <w:pStyle w:val="2"/>
              <w:rPr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现场审核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天天旺食品（江苏）有限公司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13773336853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58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1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李倩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天天旺食品（江苏）有限公司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ind w:firstLine="400" w:firstLineChars="2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383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13773336853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5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2021.12.14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5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供销部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机电科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2021.12.15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（其中12:00-13:00午餐）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行政部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能源管理体系职责和权限、目标指标方案、沟通、成文信息、能力意识、运行控制、 内审、不符合及纠正措施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:5.3/6.2/7.2/7.3/7.4/7.5/8.1/9.1.2/9.2/10.1 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2021.12.16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11:30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财务部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职责和权限、目标方案、运行控制现场经济运行控制、不符合及纠正措施；</w:t>
            </w: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:5.3/6.2/8.1/10.1  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11:30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技术部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职责和权限、目标方案、运行控制、设计、不符合及纠正措施；</w:t>
            </w:r>
            <w:bookmarkStart w:id="30" w:name="_GoBack"/>
            <w:bookmarkEnd w:id="30"/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En:5.3/6.2/7.4/8.1/8.2/10.1  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280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0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0377F1"/>
    <w:rsid w:val="5BDE3ABE"/>
    <w:rsid w:val="7CD17BD1"/>
    <w:rsid w:val="7D462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2021-12-24T02:29:43Z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