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color w:val="000000" w:themeColor="text1"/>
                <w:sz w:val="21"/>
                <w:szCs w:val="21"/>
              </w:rPr>
              <w:t>江苏美润食品有限公司</w:t>
            </w:r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谈卫国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陪同人员：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2"/>
                <w:lang w:val="en-US" w:eastAsia="zh-CN"/>
              </w:rPr>
              <w:t>胡立蒇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 w:themeColor="text1"/>
                <w:sz w:val="21"/>
                <w:szCs w:val="21"/>
              </w:rPr>
              <w:t>王宁敏</w:t>
            </w:r>
            <w:bookmarkEnd w:id="1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审核时间：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2021年12月13日 上午至2021年12月13日 下午，共1.0天。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12月8日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13:30-15:30）</w:t>
            </w:r>
          </w:p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《营业执照》</w:t>
            </w:r>
            <w:r>
              <w:rPr>
                <w:rFonts w:hint="eastAsia"/>
                <w:color w:val="000000" w:themeColor="text1"/>
                <w:szCs w:val="21"/>
              </w:rPr>
              <w:t>——：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正本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 xml:space="preserve">副本；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原件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91321323078213700G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2013.9.9</w:t>
            </w:r>
            <w:r>
              <w:rPr>
                <w:rFonts w:hint="default" w:ascii="Arial" w:hAnsi="Arial" w:cs="Arial"/>
                <w:color w:val="000000" w:themeColor="text1"/>
                <w:szCs w:val="21"/>
                <w:u w:val="single"/>
                <w:lang w:val="en-US" w:eastAsia="zh-CN"/>
              </w:rPr>
              <w:t>~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2033.9.8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许可项目：食品生产；食品经营；餐饮服务；食品经营（销售预包装食品）；粮食加工食品生产；食品互联网销售；食品经营（销售散装食品）（依法须经批准的项目，经相关部门批准后方可开展经营活动，具体经营项目以审批结果为准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一般项目：餐饮管理；汽车租赁（除依法须经批准的项目外，凭营业执照依法自主开展经营活动）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认证申请范围： 适用于生制品（速冻饺子）生产所涉及的能源管理活动。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270510</wp:posOffset>
                  </wp:positionV>
                  <wp:extent cx="2535555" cy="1847215"/>
                  <wp:effectExtent l="0" t="0" r="1905" b="4445"/>
                  <wp:wrapSquare wrapText="bothSides"/>
                  <wp:docPr id="4" name="图片 4" descr="f6edb5f38c33cb1448faba969de5d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edb5f38c33cb1448faba969de5d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许可证》</w:t>
            </w:r>
            <w:r>
              <w:rPr>
                <w:rFonts w:hint="eastAsia"/>
                <w:color w:val="000000" w:themeColor="text1"/>
                <w:szCs w:val="21"/>
              </w:rPr>
              <w:t>——：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正本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□副本；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原件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SC11132132300470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2020.4.2至2025.4.1</w:t>
            </w:r>
            <w:r>
              <w:rPr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eastAsia="宋体"/>
                <w:color w:val="000000" w:themeColor="text1"/>
                <w:szCs w:val="21"/>
                <w:lang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203200</wp:posOffset>
                  </wp:positionV>
                  <wp:extent cx="3081655" cy="2221230"/>
                  <wp:effectExtent l="0" t="0" r="4445" b="3810"/>
                  <wp:wrapSquare wrapText="bothSides"/>
                  <wp:docPr id="10" name="图片 10" descr="23918307d6b1e5fc9d4612eaa6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3918307d6b1e5fc9d4612eaa652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55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color w:val="000000" w:themeColor="text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速冻食品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许可证》</w:t>
            </w:r>
            <w:r>
              <w:rPr>
                <w:rFonts w:hint="eastAsia"/>
                <w:color w:val="000000" w:themeColor="text1"/>
                <w:szCs w:val="21"/>
              </w:rPr>
              <w:t>——：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正本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□副本；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原件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编号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JY13213230107062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； 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有效期：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2019.8.29至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2024.8.28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相关描述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预包装食品（含冷藏冷冻食品）销售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。</w:t>
            </w:r>
            <w:r>
              <w:rPr>
                <w:color w:val="000000" w:themeColor="text1"/>
                <w:szCs w:val="21"/>
                <w:u w:val="single"/>
              </w:rPr>
              <w:t xml:space="preserve">           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Cs w:val="21"/>
                <w:lang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-3175</wp:posOffset>
                  </wp:positionV>
                  <wp:extent cx="3113405" cy="2129155"/>
                  <wp:effectExtent l="0" t="0" r="3175" b="4445"/>
                  <wp:wrapSquare wrapText="bothSides"/>
                  <wp:docPr id="11" name="图片 11" descr="5cf65e351cf3ac040f3367dc0fd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cf65e351cf3ac040f3367dc0fd55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color w:val="000000" w:themeColor="text1"/>
                <w:sz w:val="21"/>
                <w:szCs w:val="21"/>
                <w:u w:val="single"/>
              </w:rPr>
              <w:t>泗阳县众兴镇绿都大道187号</w:t>
            </w:r>
            <w:bookmarkEnd w:id="2"/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与《营业执照》内容一致。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泗阳县众兴镇绿都大道187号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注册地址与生产或服务现场</w:t>
            </w:r>
            <w:r>
              <w:rPr>
                <w:rFonts w:hint="eastAsia"/>
                <w:color w:val="000000" w:themeColor="text1"/>
                <w:lang w:val="en-US" w:eastAsia="zh-CN"/>
              </w:rPr>
              <w:t>其中之一</w:t>
            </w:r>
            <w:r>
              <w:rPr>
                <w:rFonts w:hint="eastAsia"/>
                <w:color w:val="000000" w:themeColor="text1"/>
              </w:rPr>
              <w:t>一致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认证范围内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21"/>
              </w:rPr>
              <w:t>管理体系覆盖的人数（总计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60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总人数：120</w:t>
            </w:r>
            <w:r>
              <w:rPr>
                <w:rFonts w:hint="eastAsia"/>
                <w:color w:val="000000" w:themeColor="text1"/>
                <w:szCs w:val="21"/>
              </w:rPr>
              <w:t>）　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管理人员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倒班</w:t>
            </w:r>
            <w:r>
              <w:rPr>
                <w:rFonts w:hint="eastAsia"/>
                <w:color w:val="000000" w:themeColor="text1"/>
                <w:szCs w:val="18"/>
              </w:rPr>
              <w:t>操作人员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56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；劳务派遣人员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；临时工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>季节工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生产/服务的班次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单班（例如：</w:t>
            </w:r>
            <w:r>
              <w:rPr>
                <w:color w:val="000000" w:themeColor="text1"/>
                <w:szCs w:val="21"/>
              </w:rPr>
              <w:t>8:00- 1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□双班（例如：早班7:00-17:00；晚班17:00-03:00）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与认证申请稍有差池。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□三班（例如：早班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；夜班</w:t>
            </w:r>
            <w:r>
              <w:rPr>
                <w:color w:val="000000" w:themeColor="text1"/>
                <w:szCs w:val="21"/>
              </w:rPr>
              <w:t>24 :00-</w:t>
            </w:r>
            <w:r>
              <w:rPr>
                <w:rFonts w:hint="eastAsia"/>
                <w:color w:val="000000" w:themeColor="text1"/>
                <w:szCs w:val="21"/>
              </w:rPr>
              <w:t>次日</w:t>
            </w:r>
            <w:r>
              <w:rPr>
                <w:color w:val="000000" w:themeColor="text1"/>
                <w:szCs w:val="21"/>
              </w:rPr>
              <w:t xml:space="preserve"> 08 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体系运行时间是否满足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管理手册发布的时间：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至今管理体系已运行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个月以上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至今管理体系运行不足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</w:t>
            </w:r>
            <w:r>
              <w:rPr>
                <w:rFonts w:hint="eastAsia"/>
                <w:color w:val="000000" w:themeColor="text1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了解企业基本情况：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（12月8日15:30-17:00）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见《宿环罚字</w:t>
            </w:r>
            <w:r>
              <w:rPr>
                <w:rFonts w:hint="eastAsia" w:ascii="宋体" w:hAnsi="宋体" w:eastAsia="宋体" w:cs="宋体"/>
                <w:color w:val="000000" w:themeColor="text1"/>
                <w:u w:val="single"/>
                <w:lang w:val="en-US" w:eastAsia="zh-CN"/>
              </w:rPr>
              <w:t>[2021]（3）57号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》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文件，因违反《中华人民共和国水污染防治法》第八十三条第二项，受到宿迁市泗阳生态环境局处罚，罚款人民币壹拾万元整，处罚有效期：2021.6.22，公示截止期：2022.6.22。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 w:eastAsia="宋体"/>
                <w:color w:val="000000" w:themeColor="text1"/>
                <w:u w:val="single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u w:val="single"/>
                <w:lang w:eastAsia="zh-CN"/>
              </w:rPr>
              <w:drawing>
                <wp:inline distT="0" distB="0" distL="114300" distR="114300">
                  <wp:extent cx="2575560" cy="1764030"/>
                  <wp:effectExtent l="0" t="0" r="0" b="3810"/>
                  <wp:docPr id="12" name="图片 12" descr="A 58959_行政处罚记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 58959_行政处罚记录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3、文件化体系策划情况（12月9日8:00-10:00）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《能源管理手册》 1  份；覆盖了 □QMS □50430 □EMS</w:t>
            </w:r>
            <w:r>
              <w:rPr>
                <w:rFonts w:hint="eastAsia"/>
                <w:color w:val="000000" w:themeColor="text1"/>
                <w:szCs w:val="18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 xml:space="preserve"> EnMS □OHSMS  □FSMS □HACCP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b/>
                <w:bCs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18"/>
                <w:lang w:val="en-US" w:eastAsia="zh-CN"/>
              </w:rPr>
              <w:t>文件审核问题：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Cs w:val="18"/>
              </w:rPr>
              <w:t>1、在“能源管理手册发布令”、“管理者代表任命书”、“2  引用标准”、“3  术语和定义”等段落缺少标准“RB∕T 120-2015能源管理体系 食品企业认证要求”的加入描述。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文件化的程序； 2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份；详见《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程序</w:t>
            </w:r>
            <w:r>
              <w:rPr>
                <w:rFonts w:hint="eastAsia"/>
                <w:color w:val="000000" w:themeColor="text1"/>
                <w:szCs w:val="18"/>
              </w:rPr>
              <w:t>文件清单》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18"/>
              </w:rPr>
              <w:t>作业文件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管理制度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18"/>
              </w:rPr>
              <w:t xml:space="preserve">； 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记录表格；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4、各管理体系的运行情况：（10:00-11:30）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组织文件化的管理方针已制定，</w:t>
            </w:r>
            <w:r>
              <w:rPr>
                <w:rFonts w:hint="eastAsia"/>
                <w:color w:val="000000" w:themeColor="text1"/>
                <w:szCs w:val="18"/>
                <w:u w:val="none"/>
              </w:rPr>
              <w:t>能源方针</w:t>
            </w:r>
            <w:r>
              <w:rPr>
                <w:rFonts w:hint="eastAsia"/>
                <w:color w:val="000000" w:themeColor="text1"/>
                <w:szCs w:val="18"/>
              </w:rPr>
              <w:t>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遵守法规  清洁生产  创新改造  提高能效。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贯彻情况：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文件发放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□标语 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展板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网站</w:t>
            </w:r>
            <w:r>
              <w:rPr>
                <w:color w:val="000000" w:themeColor="text1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员工手册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 w:val="20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  <w:t>2020年目标：单位产品能耗≦34.21kgce/t。2020年实际完成44.78kgce/t，没有完成目标。已经进行原因分析，并制定节能措施。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00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  <w:t>2021年目标：单位产品能耗≦44.78kgce/t。2021年1-11月实际完成情况：单位产品能耗43.21kgce/t，完成目标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E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 w:themeColor="text1"/>
                <w:szCs w:val="21"/>
              </w:rPr>
              <w:t>MS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 xml:space="preserve">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5-6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内审报告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8</w:t>
            </w:r>
            <w:bookmarkStart w:id="3" w:name="_GoBack"/>
            <w:bookmarkEnd w:id="3"/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管理评审输出（报告）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对多现场（固定）建立的控制的水平（适用时）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7.1/4.1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其他：        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不存在影响二阶段审核的问题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公司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其中体系堵盖人数60人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大专或中专以上学历人数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2人有高级职称</w:t>
            </w:r>
            <w:r>
              <w:rPr>
                <w:rFonts w:hint="eastAsia"/>
                <w:color w:val="000000" w:themeColor="text1"/>
                <w:szCs w:val="21"/>
              </w:rPr>
              <w:t>；管理人员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人，劳务派遣人员0 人；临时工0 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倒班工人为56人，为二班倒班，兼职工作员工数0人；</w:t>
            </w:r>
            <w:r>
              <w:rPr>
                <w:rFonts w:hint="eastAsia"/>
                <w:color w:val="000000" w:themeColor="text1"/>
                <w:szCs w:val="21"/>
              </w:rPr>
              <w:t>季节工 0 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pStyle w:val="14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4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2B2638A"/>
    <w:rsid w:val="047D6715"/>
    <w:rsid w:val="04E66B72"/>
    <w:rsid w:val="057B61BC"/>
    <w:rsid w:val="0A0D1352"/>
    <w:rsid w:val="0B665D46"/>
    <w:rsid w:val="0DE678DC"/>
    <w:rsid w:val="0E584A1A"/>
    <w:rsid w:val="0EA35F1E"/>
    <w:rsid w:val="1303564D"/>
    <w:rsid w:val="1331210F"/>
    <w:rsid w:val="134E54F4"/>
    <w:rsid w:val="140F1ACF"/>
    <w:rsid w:val="15C332CB"/>
    <w:rsid w:val="1775282D"/>
    <w:rsid w:val="18B0256F"/>
    <w:rsid w:val="196E5D4C"/>
    <w:rsid w:val="1A337E59"/>
    <w:rsid w:val="1A9C09F8"/>
    <w:rsid w:val="1ADA1082"/>
    <w:rsid w:val="1AF21ED1"/>
    <w:rsid w:val="1D664946"/>
    <w:rsid w:val="1E8A4437"/>
    <w:rsid w:val="1F3C2C99"/>
    <w:rsid w:val="1FB20D0B"/>
    <w:rsid w:val="2180393B"/>
    <w:rsid w:val="26976C7E"/>
    <w:rsid w:val="27DB03E9"/>
    <w:rsid w:val="2BFA4849"/>
    <w:rsid w:val="2E4D6FB3"/>
    <w:rsid w:val="2FC608E3"/>
    <w:rsid w:val="312171D0"/>
    <w:rsid w:val="31695936"/>
    <w:rsid w:val="342505BF"/>
    <w:rsid w:val="36F22E22"/>
    <w:rsid w:val="394A040E"/>
    <w:rsid w:val="39AC6892"/>
    <w:rsid w:val="3A1D497A"/>
    <w:rsid w:val="3B503D6D"/>
    <w:rsid w:val="3C1146FF"/>
    <w:rsid w:val="3F337BEF"/>
    <w:rsid w:val="3F813F85"/>
    <w:rsid w:val="45C77626"/>
    <w:rsid w:val="45D513DA"/>
    <w:rsid w:val="465F2D87"/>
    <w:rsid w:val="46ED00AB"/>
    <w:rsid w:val="4B3737D8"/>
    <w:rsid w:val="4DA06891"/>
    <w:rsid w:val="51F65E6E"/>
    <w:rsid w:val="52861D1B"/>
    <w:rsid w:val="53145C03"/>
    <w:rsid w:val="542E63CF"/>
    <w:rsid w:val="54423C5B"/>
    <w:rsid w:val="55246C39"/>
    <w:rsid w:val="554460D3"/>
    <w:rsid w:val="56213DDB"/>
    <w:rsid w:val="5BF262F0"/>
    <w:rsid w:val="5E687504"/>
    <w:rsid w:val="5F8D511C"/>
    <w:rsid w:val="61A11641"/>
    <w:rsid w:val="61B548E1"/>
    <w:rsid w:val="62F56A34"/>
    <w:rsid w:val="67A108C5"/>
    <w:rsid w:val="67FA4B26"/>
    <w:rsid w:val="6AB73EA7"/>
    <w:rsid w:val="6B204C45"/>
    <w:rsid w:val="6DA716F5"/>
    <w:rsid w:val="6DB61995"/>
    <w:rsid w:val="6E9C397D"/>
    <w:rsid w:val="72D90C75"/>
    <w:rsid w:val="73CA65BE"/>
    <w:rsid w:val="76A1390B"/>
    <w:rsid w:val="770F795B"/>
    <w:rsid w:val="786461A2"/>
    <w:rsid w:val="78E61693"/>
    <w:rsid w:val="7A6C3467"/>
    <w:rsid w:val="7B7B272A"/>
    <w:rsid w:val="7E4470A0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2021-12-22T13:14:24Z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