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spacing w:line="480" w:lineRule="exact"/>
        <w:jc w:val="center"/>
        <w:rPr>
          <w:rFonts w:ascii="隶书" w:hAnsi="宋体" w:eastAsia="隶书"/>
          <w:bCs/>
          <w:color w:val="000000"/>
          <w:sz w:val="36"/>
          <w:szCs w:val="36"/>
        </w:rPr>
      </w:pPr>
      <w:r>
        <w:rPr>
          <w:rFonts w:hint="eastAsia" w:ascii="隶书" w:hAnsi="宋体" w:eastAsia="隶书"/>
          <w:bCs/>
          <w:color w:val="000000"/>
          <w:sz w:val="36"/>
          <w:szCs w:val="36"/>
        </w:rPr>
        <w:t>管理体系审核记录表</w:t>
      </w:r>
    </w:p>
    <w:tbl>
      <w:tblPr>
        <w:tblStyle w:val="9"/>
        <w:tblW w:w="14709"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036"/>
        <w:gridCol w:w="1084"/>
        <w:gridCol w:w="10004"/>
        <w:gridCol w:w="1585"/>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15" w:hRule="atLeast"/>
        </w:trPr>
        <w:tc>
          <w:tcPr>
            <w:tcW w:w="2036" w:type="dxa"/>
            <w:vMerge w:val="restart"/>
            <w:vAlign w:val="center"/>
          </w:tcPr>
          <w:p>
            <w:pPr>
              <w:spacing w:before="120"/>
              <w:jc w:val="center"/>
              <w:rPr>
                <w:sz w:val="24"/>
                <w:szCs w:val="24"/>
              </w:rPr>
            </w:pPr>
            <w:r>
              <w:rPr>
                <w:rFonts w:hint="eastAsia"/>
                <w:sz w:val="24"/>
                <w:szCs w:val="24"/>
              </w:rPr>
              <w:t>过程与活动、</w:t>
            </w:r>
          </w:p>
          <w:p>
            <w:pPr>
              <w:jc w:val="center"/>
            </w:pPr>
            <w:r>
              <w:rPr>
                <w:rFonts w:hint="eastAsia"/>
                <w:sz w:val="24"/>
                <w:szCs w:val="24"/>
              </w:rPr>
              <w:t>抽样计划</w:t>
            </w:r>
          </w:p>
        </w:tc>
        <w:tc>
          <w:tcPr>
            <w:tcW w:w="1084" w:type="dxa"/>
            <w:vMerge w:val="restart"/>
            <w:vAlign w:val="center"/>
          </w:tcPr>
          <w:p>
            <w:pPr>
              <w:rPr>
                <w:sz w:val="24"/>
                <w:szCs w:val="24"/>
              </w:rPr>
            </w:pPr>
            <w:r>
              <w:rPr>
                <w:rFonts w:hint="eastAsia"/>
                <w:sz w:val="24"/>
                <w:szCs w:val="24"/>
              </w:rPr>
              <w:t>涉及</w:t>
            </w:r>
          </w:p>
          <w:p>
            <w:r>
              <w:rPr>
                <w:rFonts w:hint="eastAsia"/>
                <w:sz w:val="24"/>
                <w:szCs w:val="24"/>
              </w:rPr>
              <w:t>条款</w:t>
            </w:r>
          </w:p>
        </w:tc>
        <w:tc>
          <w:tcPr>
            <w:tcW w:w="10004" w:type="dxa"/>
            <w:vAlign w:val="center"/>
          </w:tcPr>
          <w:p>
            <w:pPr>
              <w:rPr>
                <w:rFonts w:hint="default" w:eastAsia="宋体"/>
                <w:sz w:val="24"/>
                <w:szCs w:val="24"/>
                <w:lang w:val="en-US" w:eastAsia="zh-CN"/>
              </w:rPr>
            </w:pPr>
            <w:r>
              <w:rPr>
                <w:rFonts w:hint="eastAsia"/>
                <w:sz w:val="24"/>
                <w:szCs w:val="24"/>
              </w:rPr>
              <w:t xml:space="preserve">受审核部门：综合部 </w:t>
            </w:r>
            <w:r>
              <w:rPr>
                <w:sz w:val="24"/>
                <w:szCs w:val="24"/>
              </w:rPr>
              <w:t xml:space="preserve">  </w:t>
            </w:r>
            <w:r>
              <w:rPr>
                <w:rFonts w:hint="eastAsia"/>
                <w:sz w:val="24"/>
                <w:szCs w:val="24"/>
              </w:rPr>
              <w:t xml:space="preserve">主管领导：李麟 </w:t>
            </w:r>
            <w:r>
              <w:rPr>
                <w:sz w:val="24"/>
                <w:szCs w:val="24"/>
              </w:rPr>
              <w:t xml:space="preserve">  </w:t>
            </w:r>
            <w:r>
              <w:rPr>
                <w:rFonts w:hint="eastAsia"/>
                <w:sz w:val="24"/>
                <w:szCs w:val="24"/>
              </w:rPr>
              <w:t>陪同人员：</w:t>
            </w:r>
            <w:r>
              <w:rPr>
                <w:rFonts w:hint="eastAsia"/>
                <w:sz w:val="24"/>
                <w:szCs w:val="24"/>
                <w:lang w:val="en-US" w:eastAsia="zh-CN"/>
              </w:rPr>
              <w:t>曹晨曦</w:t>
            </w:r>
            <w:bookmarkStart w:id="0" w:name="_GoBack"/>
            <w:bookmarkEnd w:id="0"/>
          </w:p>
        </w:tc>
        <w:tc>
          <w:tcPr>
            <w:tcW w:w="1585" w:type="dxa"/>
            <w:vMerge w:val="restart"/>
            <w:vAlign w:val="center"/>
          </w:tcPr>
          <w:p>
            <w:pPr>
              <w:rPr>
                <w:sz w:val="24"/>
                <w:szCs w:val="24"/>
              </w:rPr>
            </w:pPr>
            <w:r>
              <w:rPr>
                <w:rFonts w:hint="eastAsia"/>
                <w:sz w:val="24"/>
                <w:szCs w:val="24"/>
              </w:rPr>
              <w:t>判定</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03" w:hRule="atLeast"/>
        </w:trPr>
        <w:tc>
          <w:tcPr>
            <w:tcW w:w="2036" w:type="dxa"/>
            <w:vMerge w:val="continue"/>
            <w:vAlign w:val="center"/>
          </w:tcPr>
          <w:p/>
        </w:tc>
        <w:tc>
          <w:tcPr>
            <w:tcW w:w="1084" w:type="dxa"/>
            <w:vMerge w:val="continue"/>
            <w:vAlign w:val="center"/>
          </w:tcPr>
          <w:p/>
        </w:tc>
        <w:tc>
          <w:tcPr>
            <w:tcW w:w="10004" w:type="dxa"/>
            <w:vAlign w:val="center"/>
          </w:tcPr>
          <w:p>
            <w:pPr>
              <w:spacing w:before="120"/>
              <w:rPr>
                <w:sz w:val="24"/>
                <w:szCs w:val="24"/>
              </w:rPr>
            </w:pPr>
            <w:r>
              <w:rPr>
                <w:rFonts w:hint="eastAsia"/>
                <w:sz w:val="24"/>
                <w:szCs w:val="24"/>
              </w:rPr>
              <w:t xml:space="preserve">审核员：林兵 </w:t>
            </w:r>
            <w:r>
              <w:rPr>
                <w:sz w:val="24"/>
                <w:szCs w:val="24"/>
              </w:rPr>
              <w:t xml:space="preserve"> </w:t>
            </w:r>
            <w:r>
              <w:rPr>
                <w:rFonts w:hint="eastAsia"/>
                <w:sz w:val="24"/>
                <w:szCs w:val="24"/>
              </w:rPr>
              <w:t>审核时间：2</w:t>
            </w:r>
            <w:r>
              <w:rPr>
                <w:sz w:val="24"/>
                <w:szCs w:val="24"/>
              </w:rPr>
              <w:t>02</w:t>
            </w:r>
            <w:r>
              <w:rPr>
                <w:rFonts w:hint="eastAsia"/>
                <w:sz w:val="24"/>
                <w:szCs w:val="24"/>
              </w:rPr>
              <w:t>1</w:t>
            </w:r>
            <w:r>
              <w:rPr>
                <w:sz w:val="24"/>
                <w:szCs w:val="24"/>
              </w:rPr>
              <w:t>.12.</w:t>
            </w:r>
            <w:r>
              <w:rPr>
                <w:rFonts w:hint="eastAsia"/>
                <w:sz w:val="24"/>
                <w:szCs w:val="24"/>
              </w:rPr>
              <w:t>1</w:t>
            </w:r>
            <w:r>
              <w:rPr>
                <w:sz w:val="24"/>
                <w:szCs w:val="24"/>
              </w:rPr>
              <w:t>9</w:t>
            </w:r>
            <w:r>
              <w:rPr>
                <w:rFonts w:hint="eastAsia"/>
                <w:sz w:val="24"/>
                <w:szCs w:val="24"/>
              </w:rPr>
              <w:t>上午</w:t>
            </w: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509" w:hRule="atLeast"/>
        </w:trPr>
        <w:tc>
          <w:tcPr>
            <w:tcW w:w="2036" w:type="dxa"/>
            <w:vMerge w:val="continue"/>
            <w:vAlign w:val="center"/>
          </w:tcPr>
          <w:p/>
        </w:tc>
        <w:tc>
          <w:tcPr>
            <w:tcW w:w="1084" w:type="dxa"/>
            <w:vMerge w:val="continue"/>
            <w:vAlign w:val="center"/>
          </w:tcPr>
          <w:p/>
        </w:tc>
        <w:tc>
          <w:tcPr>
            <w:tcW w:w="10004" w:type="dxa"/>
            <w:vAlign w:val="center"/>
          </w:tcPr>
          <w:p>
            <w:pPr>
              <w:rPr>
                <w:szCs w:val="21"/>
              </w:rPr>
            </w:pPr>
            <w:r>
              <w:rPr>
                <w:rFonts w:hint="eastAsia"/>
                <w:szCs w:val="21"/>
              </w:rPr>
              <w:t xml:space="preserve">审核条款：QMS: 5.3组织的岗位、职责和权限、6.2质量目标、7.1.2人员、7.1.6组织知识、7.2能力、7.3意识、7.5.1形成文件的信息总则、7.5.2形成文件的信息的创建和更新、7.5.3形成文件的信息的控制、9.1.1监视、测量、分析和评价总则、9.1.3分析与评价、10.2不合格和纠正措施， </w:t>
            </w:r>
          </w:p>
          <w:p>
            <w:pPr>
              <w:rPr>
                <w:sz w:val="24"/>
                <w:szCs w:val="24"/>
              </w:rPr>
            </w:pPr>
          </w:p>
        </w:tc>
        <w:tc>
          <w:tcPr>
            <w:tcW w:w="1585" w:type="dxa"/>
            <w:vMerge w:val="continue"/>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199" w:hRule="atLeast"/>
        </w:trPr>
        <w:tc>
          <w:tcPr>
            <w:tcW w:w="2036" w:type="dxa"/>
          </w:tcPr>
          <w:p>
            <w:pPr>
              <w:spacing w:line="280" w:lineRule="exact"/>
              <w:rPr>
                <w:rFonts w:ascii="宋体" w:hAnsi="宋体" w:cs="宋体"/>
                <w:szCs w:val="21"/>
              </w:rPr>
            </w:pPr>
            <w:r>
              <w:rPr>
                <w:rFonts w:hint="eastAsia" w:ascii="宋体" w:hAnsi="宋体" w:cs="宋体"/>
                <w:szCs w:val="21"/>
              </w:rPr>
              <w:t>组织的岗位、职责和权限</w:t>
            </w:r>
          </w:p>
          <w:p>
            <w:pPr>
              <w:spacing w:line="280" w:lineRule="exact"/>
              <w:rPr>
                <w:rFonts w:ascii="宋体" w:hAnsi="宋体" w:cs="宋体"/>
                <w:szCs w:val="21"/>
              </w:rPr>
            </w:pPr>
          </w:p>
        </w:tc>
        <w:tc>
          <w:tcPr>
            <w:tcW w:w="1084" w:type="dxa"/>
          </w:tcPr>
          <w:p>
            <w:pPr>
              <w:spacing w:line="280" w:lineRule="exact"/>
              <w:rPr>
                <w:rFonts w:ascii="宋体" w:hAnsi="宋体" w:cs="宋体"/>
                <w:szCs w:val="21"/>
              </w:rPr>
            </w:pPr>
            <w:r>
              <w:rPr>
                <w:rFonts w:ascii="宋体" w:cs="宋体"/>
                <w:szCs w:val="21"/>
              </w:rPr>
              <w:t>Q5.3</w:t>
            </w:r>
          </w:p>
        </w:tc>
        <w:tc>
          <w:tcPr>
            <w:tcW w:w="10004" w:type="dxa"/>
            <w:vAlign w:val="center"/>
          </w:tcPr>
          <w:p>
            <w:pPr>
              <w:spacing w:line="280" w:lineRule="exact"/>
              <w:ind w:firstLine="420" w:firstLineChars="200"/>
              <w:rPr>
                <w:rFonts w:ascii="宋体" w:hAnsi="宋体" w:cs="宋体"/>
                <w:szCs w:val="21"/>
              </w:rPr>
            </w:pPr>
            <w:r>
              <w:rPr>
                <w:rFonts w:hint="eastAsia"/>
                <w:color w:val="000000"/>
                <w:szCs w:val="21"/>
              </w:rPr>
              <w:t>ZY-01《岗位职责说明书》中描述各岗位的职能职责，综合部主要负责公司人力资源管理工作，负责公司组织架构各项人事管理事宜及人事档案；负责制管理体系有关工作及体系文件的管控；负</w:t>
            </w:r>
            <w:r>
              <w:rPr>
                <w:rFonts w:hint="eastAsia" w:ascii="宋体" w:hAnsi="宋体"/>
              </w:rPr>
              <w:t>责公司年度目标绩效考核。</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22" w:hRule="atLeast"/>
        </w:trPr>
        <w:tc>
          <w:tcPr>
            <w:tcW w:w="2036" w:type="dxa"/>
          </w:tcPr>
          <w:p>
            <w:pPr>
              <w:spacing w:line="280" w:lineRule="exact"/>
              <w:rPr>
                <w:rFonts w:ascii="宋体" w:hAnsi="宋体" w:cs="宋体"/>
                <w:szCs w:val="21"/>
              </w:rPr>
            </w:pPr>
            <w:r>
              <w:rPr>
                <w:rFonts w:hint="eastAsia" w:ascii="宋体" w:hAnsi="宋体" w:cs="宋体"/>
                <w:szCs w:val="21"/>
              </w:rPr>
              <w:t>管理目标及其实现的策划</w:t>
            </w:r>
          </w:p>
          <w:p>
            <w:pPr>
              <w:spacing w:line="280" w:lineRule="exact"/>
              <w:rPr>
                <w:rFonts w:ascii="宋体" w:hAnsi="宋体" w:cs="宋体"/>
                <w:szCs w:val="21"/>
              </w:rPr>
            </w:pPr>
          </w:p>
        </w:tc>
        <w:tc>
          <w:tcPr>
            <w:tcW w:w="1084" w:type="dxa"/>
          </w:tcPr>
          <w:p>
            <w:pPr>
              <w:spacing w:line="280" w:lineRule="exact"/>
              <w:rPr>
                <w:szCs w:val="21"/>
              </w:rPr>
            </w:pPr>
            <w:r>
              <w:rPr>
                <w:rFonts w:hint="eastAsia"/>
                <w:szCs w:val="21"/>
              </w:rPr>
              <w:t>Q6.2</w:t>
            </w:r>
          </w:p>
          <w:p>
            <w:pPr>
              <w:spacing w:line="280" w:lineRule="exact"/>
              <w:rPr>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公司对管理体系所需的相关职能、层次和过程设定管理目标。</w:t>
            </w:r>
          </w:p>
          <w:p>
            <w:pPr>
              <w:spacing w:line="280" w:lineRule="exact"/>
              <w:ind w:firstLine="420" w:firstLineChars="200"/>
              <w:rPr>
                <w:rFonts w:hint="eastAsia" w:ascii="宋体" w:hAnsi="宋体" w:cs="宋体"/>
                <w:szCs w:val="21"/>
              </w:rPr>
            </w:pPr>
            <w:r>
              <w:rPr>
                <w:rFonts w:hint="eastAsia" w:ascii="宋体" w:hAnsi="宋体" w:cs="宋体"/>
                <w:szCs w:val="21"/>
              </w:rPr>
              <w:t>综合部涉及的目标及实现情况是：人员能力合格率100%</w:t>
            </w:r>
          </w:p>
          <w:tbl>
            <w:tblPr>
              <w:tblStyle w:val="9"/>
              <w:tblW w:w="4659" w:type="dxa"/>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3425"/>
              <w:gridCol w:w="1234"/>
            </w:tblGrid>
            <w:tr>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343" w:hRule="exact"/>
                <w:jc w:val="center"/>
              </w:trPr>
              <w:tc>
                <w:tcPr>
                  <w:tcW w:w="3676" w:type="pct"/>
                  <w:tcBorders>
                    <w:top w:val="single" w:color="auto" w:sz="4" w:space="0"/>
                    <w:left w:val="single" w:color="auto" w:sz="4" w:space="0"/>
                    <w:bottom w:val="single" w:color="auto" w:sz="4" w:space="0"/>
                    <w:right w:val="single" w:color="auto" w:sz="4" w:space="0"/>
                  </w:tcBorders>
                  <w:vAlign w:val="center"/>
                </w:tcPr>
                <w:p>
                  <w:pPr>
                    <w:widowControl/>
                    <w:jc w:val="center"/>
                    <w:rPr>
                      <w:rFonts w:ascii="宋体" w:hAnsi="宋体"/>
                      <w:szCs w:val="16"/>
                    </w:rPr>
                  </w:pPr>
                  <w:r>
                    <w:rPr>
                      <w:rFonts w:hint="eastAsia" w:ascii="宋体" w:hAnsi="宋体" w:cs="宋体"/>
                      <w:szCs w:val="21"/>
                    </w:rPr>
                    <w:t xml:space="preserve">人员能力合格率 </w:t>
                  </w:r>
                  <w:r>
                    <w:rPr>
                      <w:rFonts w:ascii="宋体" w:hAnsi="宋体" w:cs="宋体"/>
                      <w:szCs w:val="21"/>
                    </w:rPr>
                    <w:t>100</w:t>
                  </w:r>
                  <w:r>
                    <w:rPr>
                      <w:rFonts w:hint="eastAsia" w:ascii="宋体" w:hAnsi="宋体" w:cs="宋体"/>
                      <w:szCs w:val="21"/>
                    </w:rPr>
                    <w:t>%</w:t>
                  </w:r>
                </w:p>
              </w:tc>
              <w:tc>
                <w:tcPr>
                  <w:tcW w:w="1324" w:type="pct"/>
                  <w:tcBorders>
                    <w:top w:val="single" w:color="auto" w:sz="4" w:space="0"/>
                    <w:left w:val="single" w:color="auto" w:sz="4" w:space="0"/>
                    <w:bottom w:val="single" w:color="auto" w:sz="4" w:space="0"/>
                    <w:right w:val="single" w:color="auto" w:sz="4" w:space="0"/>
                  </w:tcBorders>
                  <w:vAlign w:val="center"/>
                </w:tcPr>
                <w:p>
                  <w:pPr>
                    <w:rPr>
                      <w:rFonts w:ascii="宋体" w:hAnsi="宋体"/>
                      <w:bCs/>
                      <w:szCs w:val="16"/>
                    </w:rPr>
                  </w:pPr>
                  <w:r>
                    <w:rPr>
                      <w:rFonts w:hint="eastAsia" w:ascii="宋体" w:hAnsi="宋体"/>
                      <w:bCs/>
                      <w:szCs w:val="16"/>
                    </w:rPr>
                    <w:t>100%</w:t>
                  </w:r>
                </w:p>
              </w:tc>
            </w:tr>
          </w:tbl>
          <w:p>
            <w:pPr>
              <w:rPr>
                <w:rFonts w:ascii="宋体" w:hAnsi="宋体" w:cs="宋体"/>
                <w:szCs w:val="21"/>
              </w:rPr>
            </w:pPr>
            <w:r>
              <w:rPr>
                <w:rFonts w:hint="eastAsia" w:ascii="宋体" w:hAnsi="宋体" w:cs="宋体"/>
                <w:szCs w:val="21"/>
              </w:rPr>
              <w:t>目标可测量，与公司管理方针一致。有环境及安全目标、指标和管理方案， 根据2021年2月统计结果，目标均已完成。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036" w:type="dxa"/>
          </w:tcPr>
          <w:p>
            <w:pPr>
              <w:spacing w:line="280" w:lineRule="exact"/>
              <w:rPr>
                <w:rFonts w:ascii="宋体" w:hAnsi="宋体" w:cs="宋体"/>
                <w:color w:val="000000"/>
                <w:kern w:val="0"/>
                <w:szCs w:val="21"/>
              </w:rPr>
            </w:pPr>
            <w:r>
              <w:rPr>
                <w:rFonts w:hint="eastAsia" w:ascii="宋体" w:hAnsi="宋体" w:cs="宋体"/>
                <w:color w:val="000000"/>
                <w:kern w:val="0"/>
                <w:szCs w:val="21"/>
              </w:rPr>
              <w:t>人员</w:t>
            </w:r>
          </w:p>
          <w:p>
            <w:pPr>
              <w:spacing w:line="280" w:lineRule="exact"/>
              <w:rPr>
                <w:b/>
                <w:szCs w:val="21"/>
              </w:rPr>
            </w:pPr>
          </w:p>
        </w:tc>
        <w:tc>
          <w:tcPr>
            <w:tcW w:w="1084" w:type="dxa"/>
          </w:tcPr>
          <w:p>
            <w:pPr>
              <w:spacing w:line="280" w:lineRule="exact"/>
              <w:rPr>
                <w:rFonts w:ascii="宋体" w:hAnsi="宋体" w:cs="宋体"/>
                <w:color w:val="000000"/>
                <w:kern w:val="0"/>
                <w:szCs w:val="21"/>
              </w:rPr>
            </w:pPr>
            <w:r>
              <w:rPr>
                <w:rFonts w:hint="eastAsia" w:ascii="宋体" w:hAnsi="宋体" w:cs="宋体"/>
                <w:color w:val="000000"/>
                <w:kern w:val="0"/>
                <w:szCs w:val="21"/>
              </w:rPr>
              <w:t>Q7.1.2</w:t>
            </w:r>
          </w:p>
          <w:p>
            <w:pPr>
              <w:spacing w:line="280" w:lineRule="exact"/>
              <w:rPr>
                <w:b/>
                <w:szCs w:val="21"/>
              </w:rPr>
            </w:pPr>
          </w:p>
        </w:tc>
        <w:tc>
          <w:tcPr>
            <w:tcW w:w="10004" w:type="dxa"/>
            <w:vAlign w:val="center"/>
          </w:tcPr>
          <w:p>
            <w:pPr>
              <w:spacing w:line="280" w:lineRule="exact"/>
              <w:rPr>
                <w:b/>
                <w:szCs w:val="21"/>
              </w:rPr>
            </w:pPr>
            <w:r>
              <w:rPr>
                <w:rFonts w:hint="eastAsia" w:ascii="宋体" w:hAnsi="宋体" w:cs="宋体"/>
                <w:color w:val="000000"/>
                <w:kern w:val="0"/>
                <w:szCs w:val="21"/>
              </w:rPr>
              <w:t xml:space="preserve">   综合部根据各部门的需要配备管理体系运行所需的人员，任命内审员</w:t>
            </w:r>
            <w:r>
              <w:rPr>
                <w:rFonts w:ascii="宋体" w:hAnsi="宋体" w:cs="宋体"/>
                <w:color w:val="000000"/>
                <w:kern w:val="0"/>
                <w:szCs w:val="21"/>
              </w:rPr>
              <w:t>2</w:t>
            </w:r>
            <w:r>
              <w:rPr>
                <w:rFonts w:hint="eastAsia" w:ascii="宋体" w:hAnsi="宋体" w:cs="宋体"/>
                <w:color w:val="000000"/>
                <w:kern w:val="0"/>
                <w:szCs w:val="21"/>
              </w:rPr>
              <w:t>名李麟、曹晨曦，均经过相关培训，有公司任命证书。提供有员工花名册，</w:t>
            </w:r>
            <w:r>
              <w:rPr>
                <w:rFonts w:hint="eastAsia" w:ascii="宋体" w:hAnsi="宋体" w:cs="宋体"/>
                <w:color w:val="000000"/>
                <w:kern w:val="0"/>
                <w:szCs w:val="21"/>
                <w:highlight w:val="yellow"/>
              </w:rPr>
              <w:t>目前公司共有员工8人，各部门人员配备基本充分，基本符合要求。</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36" w:type="dxa"/>
          </w:tcPr>
          <w:p>
            <w:pPr>
              <w:spacing w:line="280" w:lineRule="exact"/>
              <w:rPr>
                <w:rFonts w:ascii="宋体" w:hAnsi="宋体" w:cs="宋体"/>
                <w:color w:val="000000"/>
                <w:kern w:val="0"/>
                <w:szCs w:val="21"/>
              </w:rPr>
            </w:pPr>
            <w:r>
              <w:rPr>
                <w:rFonts w:hint="eastAsia" w:ascii="宋体" w:hAnsi="宋体" w:cs="宋体"/>
                <w:color w:val="000000"/>
                <w:kern w:val="0"/>
                <w:szCs w:val="21"/>
              </w:rPr>
              <w:t>组织的知识</w:t>
            </w:r>
          </w:p>
          <w:p>
            <w:pPr>
              <w:spacing w:line="280" w:lineRule="exact"/>
              <w:rPr>
                <w:b/>
                <w:szCs w:val="21"/>
              </w:rPr>
            </w:pPr>
          </w:p>
        </w:tc>
        <w:tc>
          <w:tcPr>
            <w:tcW w:w="1084" w:type="dxa"/>
          </w:tcPr>
          <w:p>
            <w:pPr>
              <w:spacing w:line="280" w:lineRule="exact"/>
              <w:rPr>
                <w:rFonts w:ascii="宋体" w:hAnsi="宋体" w:cs="宋体"/>
                <w:color w:val="000000"/>
                <w:kern w:val="0"/>
                <w:szCs w:val="21"/>
              </w:rPr>
            </w:pPr>
            <w:r>
              <w:rPr>
                <w:rFonts w:hint="eastAsia" w:ascii="宋体" w:hAnsi="宋体" w:cs="宋体"/>
                <w:color w:val="000000"/>
                <w:kern w:val="0"/>
                <w:szCs w:val="21"/>
              </w:rPr>
              <w:t>Q7.1.6</w:t>
            </w:r>
          </w:p>
          <w:p>
            <w:pPr>
              <w:spacing w:line="280" w:lineRule="exact"/>
              <w:rPr>
                <w:b/>
                <w:szCs w:val="21"/>
              </w:rPr>
            </w:pPr>
          </w:p>
        </w:tc>
        <w:tc>
          <w:tcPr>
            <w:tcW w:w="10004" w:type="dxa"/>
            <w:vAlign w:val="center"/>
          </w:tcPr>
          <w:p>
            <w:pPr>
              <w:spacing w:line="280" w:lineRule="exact"/>
              <w:rPr>
                <w:rFonts w:ascii="宋体" w:hAnsi="宋体" w:cs="宋体"/>
                <w:color w:val="000000"/>
                <w:kern w:val="0"/>
                <w:szCs w:val="21"/>
              </w:rPr>
            </w:pPr>
            <w:r>
              <w:rPr>
                <w:rFonts w:hint="eastAsia" w:ascii="宋体" w:hAnsi="宋体" w:cs="宋体"/>
                <w:color w:val="000000"/>
                <w:kern w:val="0"/>
                <w:szCs w:val="21"/>
              </w:rPr>
              <w:t xml:space="preserve">  公司制定了确定运行过程所需的知识。提供了《知识管理清单》内部来源包括：管理手册、程序文件、管理制度、作业记录等、合理化建议、技能知识、部门管理经验等；外部来源包括外部培训资料、行业发展信息、外供/包方资质信息、技术成果等。</w:t>
            </w:r>
          </w:p>
          <w:p>
            <w:pPr>
              <w:spacing w:line="280" w:lineRule="exact"/>
              <w:ind w:firstLine="420" w:firstLineChars="200"/>
              <w:rPr>
                <w:b/>
                <w:szCs w:val="21"/>
              </w:rPr>
            </w:pPr>
            <w:r>
              <w:rPr>
                <w:rFonts w:hint="eastAsia" w:ascii="宋体" w:hAnsi="宋体" w:cs="宋体"/>
                <w:color w:val="000000"/>
                <w:kern w:val="0"/>
                <w:szCs w:val="21"/>
              </w:rPr>
              <w:t>综合部是公司的知识管理归口部门，负责监督检查各部门知识管理工作。对知识的保持采取文件资料的保存和信息系统存储方式，在公司内部通过传递、交流、培训等方式获取。为获取更多必要的知识采用工作经验总结、现场获取的经验反馈、用户反馈，公司定期组织合理化建议征集活动，以便考察日常活动的有效性和更广泛的推行知识管理。</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98" w:hRule="atLeast"/>
        </w:trPr>
        <w:tc>
          <w:tcPr>
            <w:tcW w:w="2036" w:type="dxa"/>
          </w:tcPr>
          <w:p>
            <w:pPr>
              <w:spacing w:line="280" w:lineRule="exact"/>
              <w:rPr>
                <w:rFonts w:ascii="宋体" w:hAnsi="宋体" w:cs="宋体"/>
                <w:color w:val="000000"/>
                <w:kern w:val="0"/>
                <w:szCs w:val="21"/>
              </w:rPr>
            </w:pPr>
            <w:r>
              <w:rPr>
                <w:rFonts w:hint="eastAsia" w:ascii="宋体" w:hAnsi="宋体" w:cs="宋体"/>
                <w:color w:val="000000"/>
                <w:kern w:val="0"/>
                <w:szCs w:val="21"/>
              </w:rPr>
              <w:t>能力</w:t>
            </w:r>
          </w:p>
          <w:p>
            <w:pPr>
              <w:spacing w:line="280" w:lineRule="exact"/>
              <w:rPr>
                <w:b/>
                <w:szCs w:val="21"/>
              </w:rPr>
            </w:pPr>
          </w:p>
        </w:tc>
        <w:tc>
          <w:tcPr>
            <w:tcW w:w="1084" w:type="dxa"/>
          </w:tcPr>
          <w:p>
            <w:pPr>
              <w:spacing w:line="280" w:lineRule="exact"/>
              <w:rPr>
                <w:b/>
                <w:szCs w:val="21"/>
              </w:rPr>
            </w:pPr>
            <w:r>
              <w:rPr>
                <w:rFonts w:hint="eastAsia" w:ascii="宋体" w:hAnsi="宋体" w:cs="宋体"/>
                <w:color w:val="000000"/>
                <w:kern w:val="0"/>
                <w:szCs w:val="21"/>
              </w:rPr>
              <w:t>Q7.2</w:t>
            </w:r>
          </w:p>
        </w:tc>
        <w:tc>
          <w:tcPr>
            <w:tcW w:w="10004" w:type="dxa"/>
            <w:vAlign w:val="center"/>
          </w:tcPr>
          <w:p>
            <w:pPr>
              <w:spacing w:line="280" w:lineRule="exact"/>
              <w:ind w:firstLine="420" w:firstLineChars="200"/>
              <w:rPr>
                <w:rFonts w:ascii="宋体" w:hAnsi="宋体" w:cs="宋体"/>
                <w:color w:val="000000"/>
                <w:kern w:val="0"/>
                <w:szCs w:val="21"/>
              </w:rPr>
            </w:pPr>
            <w:r>
              <w:rPr>
                <w:rFonts w:hint="eastAsia" w:ascii="宋体" w:hAnsi="宋体" w:cs="宋体"/>
                <w:szCs w:val="21"/>
              </w:rPr>
              <w:t>公司对各岗位能力规定的要求包括了专业技能、岗位资格、能力、工作经验等。</w:t>
            </w:r>
            <w:r>
              <w:rPr>
                <w:rFonts w:hint="eastAsia" w:ascii="宋体" w:hAnsi="宋体" w:cs="宋体"/>
                <w:color w:val="000000"/>
                <w:kern w:val="0"/>
                <w:szCs w:val="21"/>
              </w:rPr>
              <w:t>提供《岗位人员能力评定记录》主要对公司骨干员工进行了能力的确认：</w:t>
            </w:r>
            <w:r>
              <w:rPr>
                <w:rFonts w:hint="eastAsia" w:ascii="宋体" w:hAnsi="宋体" w:cs="宋体"/>
                <w:szCs w:val="21"/>
              </w:rPr>
              <w:t>分别从技能、培训、工作态度、工作能力方面进行了打分，</w:t>
            </w:r>
            <w:r>
              <w:rPr>
                <w:rFonts w:hint="eastAsia" w:ascii="宋体" w:hAnsi="宋体"/>
                <w:sz w:val="24"/>
              </w:rPr>
              <w:t>综合判定</w:t>
            </w:r>
            <w:r>
              <w:rPr>
                <w:rFonts w:hint="eastAsia" w:ascii="宋体" w:hAnsi="宋体" w:cs="宋体"/>
                <w:szCs w:val="21"/>
              </w:rPr>
              <w:t>：分数均在9</w:t>
            </w:r>
            <w:r>
              <w:rPr>
                <w:rFonts w:ascii="宋体" w:hAnsi="宋体" w:cs="宋体"/>
                <w:szCs w:val="21"/>
              </w:rPr>
              <w:t>0</w:t>
            </w:r>
            <w:r>
              <w:rPr>
                <w:rFonts w:hint="eastAsia" w:ascii="宋体" w:hAnsi="宋体" w:cs="宋体"/>
                <w:szCs w:val="21"/>
              </w:rPr>
              <w:t>分以上。</w:t>
            </w:r>
            <w:r>
              <w:rPr>
                <w:rFonts w:hint="eastAsia" w:ascii="宋体" w:hAnsi="宋体" w:cs="宋体"/>
                <w:color w:val="000000"/>
                <w:kern w:val="0"/>
                <w:szCs w:val="21"/>
              </w:rPr>
              <w:t>总体评价：符合上岗要求。</w:t>
            </w:r>
          </w:p>
          <w:p>
            <w:pPr>
              <w:spacing w:line="280" w:lineRule="exact"/>
              <w:ind w:firstLine="420" w:firstLineChars="200"/>
              <w:rPr>
                <w:szCs w:val="21"/>
              </w:rPr>
            </w:pPr>
            <w:r>
              <w:rPr>
                <w:rFonts w:hint="eastAsia"/>
                <w:szCs w:val="21"/>
              </w:rPr>
              <w:t>查 202</w:t>
            </w:r>
            <w:r>
              <w:rPr>
                <w:szCs w:val="21"/>
              </w:rPr>
              <w:t>1</w:t>
            </w:r>
            <w:r>
              <w:rPr>
                <w:rFonts w:hint="eastAsia"/>
                <w:szCs w:val="21"/>
              </w:rPr>
              <w:t>年度培训计划，内容包括I</w:t>
            </w:r>
            <w:r>
              <w:rPr>
                <w:szCs w:val="21"/>
              </w:rPr>
              <w:t>SO9001</w:t>
            </w:r>
            <w:r>
              <w:rPr>
                <w:rFonts w:hint="eastAsia"/>
                <w:szCs w:val="21"/>
              </w:rPr>
              <w:t>标准培训、质量方针、目标及各部门分目标，质量管理手册(含程序文件)内容宣贯、作业岗位技能培训、检验知识培训、公司内部审核人员管理体系审核知识等。</w:t>
            </w:r>
          </w:p>
          <w:p>
            <w:pPr>
              <w:spacing w:line="280" w:lineRule="exact"/>
              <w:ind w:firstLine="420" w:firstLineChars="200"/>
              <w:rPr>
                <w:szCs w:val="21"/>
              </w:rPr>
            </w:pPr>
            <w:r>
              <w:rPr>
                <w:rFonts w:hint="eastAsia"/>
                <w:szCs w:val="21"/>
              </w:rPr>
              <w:t>抽查《培训记录》：</w:t>
            </w:r>
          </w:p>
          <w:p>
            <w:pPr>
              <w:spacing w:line="280" w:lineRule="exact"/>
              <w:ind w:firstLine="420" w:firstLineChars="200"/>
              <w:rPr>
                <w:szCs w:val="21"/>
              </w:rPr>
            </w:pPr>
            <w:r>
              <w:rPr>
                <w:rFonts w:hint="eastAsia"/>
                <w:szCs w:val="21"/>
              </w:rPr>
              <w:t>1、</w:t>
            </w:r>
            <w:r>
              <w:rPr>
                <w:rFonts w:hint="eastAsia" w:ascii="宋体" w:hAnsi="宋体" w:cs="宋体"/>
                <w:szCs w:val="21"/>
              </w:rPr>
              <w:t>20</w:t>
            </w:r>
            <w:r>
              <w:rPr>
                <w:rFonts w:ascii="宋体" w:hAnsi="宋体" w:cs="宋体"/>
                <w:szCs w:val="21"/>
              </w:rPr>
              <w:t>21</w:t>
            </w:r>
            <w:r>
              <w:rPr>
                <w:rFonts w:hint="eastAsia" w:ascii="宋体" w:hAnsi="宋体" w:cs="宋体"/>
                <w:szCs w:val="21"/>
              </w:rPr>
              <w:t>-</w:t>
            </w:r>
            <w:r>
              <w:rPr>
                <w:rFonts w:ascii="宋体" w:hAnsi="宋体" w:cs="宋体"/>
                <w:szCs w:val="21"/>
              </w:rPr>
              <w:t>06-10</w:t>
            </w:r>
            <w:r>
              <w:rPr>
                <w:rFonts w:hint="eastAsia"/>
                <w:szCs w:val="21"/>
              </w:rPr>
              <w:t>：</w:t>
            </w:r>
            <w:r>
              <w:rPr>
                <w:szCs w:val="21"/>
              </w:rPr>
              <w:t>ISO9001:2015</w:t>
            </w:r>
            <w:r>
              <w:rPr>
                <w:rFonts w:hint="eastAsia"/>
                <w:szCs w:val="21"/>
              </w:rPr>
              <w:t>标准。培训老师：咨询师，参加人员：刘元芳、李麟、曹晨曦。通过问答对理解情况进行考核，所有培训人员基本理解了标准条款的要求及实施的意义，并且结合贯标，运用到实际工作之中，此次培训达到预期效果。审批人：刘元芳</w:t>
            </w:r>
          </w:p>
          <w:p>
            <w:pPr>
              <w:spacing w:line="280" w:lineRule="exact"/>
              <w:ind w:firstLine="420" w:firstLineChars="200"/>
              <w:rPr>
                <w:szCs w:val="21"/>
              </w:rPr>
            </w:pPr>
            <w:r>
              <w:rPr>
                <w:rFonts w:hint="eastAsia"/>
                <w:szCs w:val="21"/>
              </w:rPr>
              <w:t>2、</w:t>
            </w:r>
            <w:r>
              <w:rPr>
                <w:rFonts w:hint="eastAsia" w:ascii="宋体" w:hAnsi="宋体" w:cs="宋体"/>
                <w:szCs w:val="21"/>
              </w:rPr>
              <w:t>20</w:t>
            </w:r>
            <w:r>
              <w:rPr>
                <w:rFonts w:ascii="宋体" w:hAnsi="宋体" w:cs="宋体"/>
                <w:szCs w:val="21"/>
              </w:rPr>
              <w:t>21</w:t>
            </w:r>
            <w:r>
              <w:rPr>
                <w:rFonts w:hint="eastAsia" w:ascii="宋体" w:hAnsi="宋体" w:cs="宋体"/>
                <w:szCs w:val="21"/>
              </w:rPr>
              <w:t>-</w:t>
            </w:r>
            <w:r>
              <w:rPr>
                <w:rFonts w:ascii="宋体" w:hAnsi="宋体" w:cs="宋体"/>
                <w:szCs w:val="21"/>
              </w:rPr>
              <w:t>07</w:t>
            </w:r>
            <w:r>
              <w:rPr>
                <w:rFonts w:hint="eastAsia" w:ascii="宋体" w:hAnsi="宋体" w:cs="宋体"/>
                <w:szCs w:val="21"/>
              </w:rPr>
              <w:t>-</w:t>
            </w:r>
            <w:r>
              <w:rPr>
                <w:szCs w:val="21"/>
              </w:rPr>
              <w:t>08</w:t>
            </w:r>
            <w:r>
              <w:rPr>
                <w:rFonts w:hint="eastAsia"/>
                <w:szCs w:val="21"/>
              </w:rPr>
              <w:t>：方针、目标、手册、程序。参加人：刘元芳、李麟、曹晨曦等部门主管及相关人员等，培训老师：咨询师。通过现场评价，所有培训人员基本理解了培训内容，结合贯标，运用到实际工作之中，此次培训达到预期效果。审批人：刘元芳</w:t>
            </w:r>
          </w:p>
          <w:p>
            <w:pPr>
              <w:spacing w:line="280" w:lineRule="exact"/>
              <w:ind w:firstLine="420" w:firstLineChars="200"/>
              <w:rPr>
                <w:szCs w:val="21"/>
              </w:rPr>
            </w:pPr>
            <w:r>
              <w:rPr>
                <w:rFonts w:hint="eastAsia"/>
                <w:szCs w:val="21"/>
              </w:rPr>
              <w:t>3、20</w:t>
            </w:r>
            <w:r>
              <w:rPr>
                <w:szCs w:val="21"/>
              </w:rPr>
              <w:t>2</w:t>
            </w:r>
            <w:r>
              <w:rPr>
                <w:rFonts w:hint="eastAsia"/>
                <w:szCs w:val="21"/>
              </w:rPr>
              <w:t>1-</w:t>
            </w:r>
            <w:r>
              <w:rPr>
                <w:szCs w:val="21"/>
              </w:rPr>
              <w:t>08</w:t>
            </w:r>
            <w:r>
              <w:rPr>
                <w:rFonts w:hint="eastAsia"/>
                <w:szCs w:val="21"/>
              </w:rPr>
              <w:t>-</w:t>
            </w:r>
            <w:r>
              <w:rPr>
                <w:szCs w:val="21"/>
              </w:rPr>
              <w:t>15</w:t>
            </w:r>
            <w:r>
              <w:rPr>
                <w:rFonts w:hint="eastAsia"/>
                <w:szCs w:val="21"/>
              </w:rPr>
              <w:t>：作业岗位技能等内容。结合公司经营管理活动中可能涉及的公司内部文件、相关产品、作业规范、与产品有关的设备、设施的使用。培训老师：咨询师。参加人：李麟、曹晨曦。通过现场评价，所有培训人员了解了培训内容和演练项目的要求和注意事项，此次培训有效。审批人：刘元芳。</w:t>
            </w:r>
          </w:p>
          <w:p>
            <w:pPr>
              <w:spacing w:line="280" w:lineRule="exact"/>
              <w:ind w:firstLine="420" w:firstLineChars="200"/>
              <w:rPr>
                <w:b/>
                <w:szCs w:val="21"/>
              </w:rPr>
            </w:pPr>
            <w:r>
              <w:rPr>
                <w:rFonts w:hint="eastAsia"/>
                <w:szCs w:val="21"/>
              </w:rPr>
              <w:t>特殊工种：无</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547" w:hRule="atLeast"/>
        </w:trPr>
        <w:tc>
          <w:tcPr>
            <w:tcW w:w="2036" w:type="dxa"/>
          </w:tcPr>
          <w:p>
            <w:pPr>
              <w:spacing w:line="280" w:lineRule="exact"/>
              <w:rPr>
                <w:rFonts w:ascii="宋体" w:hAnsi="宋体" w:cs="宋体"/>
                <w:color w:val="000000"/>
                <w:kern w:val="0"/>
                <w:szCs w:val="21"/>
              </w:rPr>
            </w:pPr>
            <w:r>
              <w:rPr>
                <w:rFonts w:hint="eastAsia" w:ascii="宋体" w:hAnsi="宋体" w:cs="宋体"/>
                <w:color w:val="000000"/>
                <w:kern w:val="0"/>
                <w:szCs w:val="21"/>
              </w:rPr>
              <w:t>意识</w:t>
            </w:r>
          </w:p>
          <w:p>
            <w:pPr>
              <w:spacing w:line="280" w:lineRule="exact"/>
              <w:rPr>
                <w:b/>
                <w:szCs w:val="21"/>
              </w:rPr>
            </w:pPr>
          </w:p>
        </w:tc>
        <w:tc>
          <w:tcPr>
            <w:tcW w:w="1084" w:type="dxa"/>
          </w:tcPr>
          <w:p>
            <w:pPr>
              <w:spacing w:line="280" w:lineRule="exact"/>
              <w:rPr>
                <w:rFonts w:ascii="宋体" w:hAnsi="宋体" w:cs="宋体"/>
                <w:color w:val="000000"/>
                <w:kern w:val="0"/>
                <w:szCs w:val="21"/>
              </w:rPr>
            </w:pPr>
            <w:r>
              <w:rPr>
                <w:rFonts w:hint="eastAsia" w:ascii="宋体" w:hAnsi="宋体" w:cs="宋体"/>
                <w:color w:val="000000"/>
                <w:kern w:val="0"/>
                <w:szCs w:val="21"/>
              </w:rPr>
              <w:t>Q7.3</w:t>
            </w:r>
          </w:p>
          <w:p>
            <w:pPr>
              <w:spacing w:line="280" w:lineRule="exact"/>
              <w:rPr>
                <w:b/>
                <w:szCs w:val="21"/>
              </w:rPr>
            </w:pPr>
          </w:p>
        </w:tc>
        <w:tc>
          <w:tcPr>
            <w:tcW w:w="10004" w:type="dxa"/>
            <w:vAlign w:val="center"/>
          </w:tcPr>
          <w:p>
            <w:pPr>
              <w:spacing w:line="280" w:lineRule="exact"/>
              <w:ind w:firstLine="420" w:firstLineChars="200"/>
              <w:rPr>
                <w:szCs w:val="21"/>
              </w:rPr>
            </w:pPr>
            <w:r>
              <w:rPr>
                <w:rFonts w:hint="eastAsia"/>
                <w:szCs w:val="21"/>
              </w:rPr>
              <w:t>管理手册7.3意识：通过日常的工作要求和组织各类培训等方法使在组织控制范围内的相关工作人员知道质量方针；相关的质量目标；员工对质量管理体系有效性的贡献，包括改进质量绩效的益处；不符合质量管理体系要求的后果。</w:t>
            </w:r>
          </w:p>
          <w:p>
            <w:pPr>
              <w:spacing w:line="280" w:lineRule="exact"/>
              <w:ind w:firstLine="420" w:firstLineChars="200"/>
              <w:rPr>
                <w:b/>
                <w:szCs w:val="21"/>
              </w:rPr>
            </w:pPr>
            <w:r>
              <w:rPr>
                <w:rFonts w:hint="eastAsia"/>
                <w:szCs w:val="21"/>
              </w:rPr>
              <w:t>202</w:t>
            </w:r>
            <w:r>
              <w:rPr>
                <w:szCs w:val="21"/>
              </w:rPr>
              <w:t>1</w:t>
            </w:r>
            <w:r>
              <w:rPr>
                <w:rFonts w:hint="eastAsia"/>
                <w:szCs w:val="21"/>
              </w:rPr>
              <w:t>-</w:t>
            </w:r>
            <w:r>
              <w:rPr>
                <w:szCs w:val="21"/>
              </w:rPr>
              <w:t>07</w:t>
            </w:r>
            <w:r>
              <w:rPr>
                <w:rFonts w:hint="eastAsia"/>
                <w:szCs w:val="21"/>
              </w:rPr>
              <w:t>-</w:t>
            </w:r>
            <w:r>
              <w:rPr>
                <w:szCs w:val="21"/>
              </w:rPr>
              <w:t>08</w:t>
            </w:r>
            <w:r>
              <w:rPr>
                <w:rFonts w:hint="eastAsia"/>
                <w:szCs w:val="21"/>
              </w:rPr>
              <w:t>培训了方针、目标、手册、程序等，经过本次学习大家了解质量方针、质量目标、质量手册、程序文件，各自结合当前情况及本部门工作实际落实。</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90" w:hRule="atLeast"/>
        </w:trPr>
        <w:tc>
          <w:tcPr>
            <w:tcW w:w="2036" w:type="dxa"/>
          </w:tcPr>
          <w:p>
            <w:pPr>
              <w:spacing w:line="280" w:lineRule="exact"/>
              <w:rPr>
                <w:rFonts w:ascii="宋体" w:hAnsi="宋体" w:cs="宋体"/>
                <w:color w:val="000000"/>
                <w:kern w:val="0"/>
                <w:szCs w:val="21"/>
              </w:rPr>
            </w:pPr>
            <w:r>
              <w:rPr>
                <w:rFonts w:hint="eastAsia" w:ascii="宋体" w:hAnsi="宋体" w:cs="宋体"/>
                <w:color w:val="000000"/>
                <w:kern w:val="0"/>
                <w:szCs w:val="21"/>
              </w:rPr>
              <w:t>成文信息</w:t>
            </w:r>
          </w:p>
          <w:p>
            <w:pPr>
              <w:spacing w:line="280" w:lineRule="exact"/>
              <w:rPr>
                <w:rFonts w:ascii="宋体" w:hAnsi="宋体" w:cs="宋体"/>
                <w:szCs w:val="21"/>
              </w:rPr>
            </w:pPr>
          </w:p>
        </w:tc>
        <w:tc>
          <w:tcPr>
            <w:tcW w:w="1084" w:type="dxa"/>
          </w:tcPr>
          <w:p>
            <w:pPr>
              <w:spacing w:line="280" w:lineRule="exact"/>
              <w:rPr>
                <w:rFonts w:ascii="宋体" w:hAnsi="宋体" w:cs="宋体"/>
                <w:color w:val="000000"/>
                <w:kern w:val="0"/>
                <w:szCs w:val="21"/>
              </w:rPr>
            </w:pPr>
            <w:r>
              <w:rPr>
                <w:rFonts w:hint="eastAsia" w:ascii="宋体" w:hAnsi="宋体" w:cs="宋体"/>
                <w:color w:val="000000"/>
                <w:kern w:val="0"/>
                <w:szCs w:val="21"/>
              </w:rPr>
              <w:t>Q7.5</w:t>
            </w:r>
          </w:p>
          <w:p>
            <w:pPr>
              <w:spacing w:line="280" w:lineRule="exact"/>
              <w:rPr>
                <w:rFonts w:ascii="宋体" w:hAnsi="宋体" w:cs="宋体"/>
                <w:color w:val="000000"/>
                <w:kern w:val="0"/>
                <w:szCs w:val="21"/>
              </w:rPr>
            </w:pPr>
            <w:r>
              <w:rPr>
                <w:rFonts w:hint="eastAsia" w:ascii="宋体" w:hAnsi="宋体" w:cs="宋体"/>
                <w:color w:val="000000"/>
                <w:kern w:val="0"/>
                <w:szCs w:val="21"/>
              </w:rPr>
              <w:t>Q7.5.1</w:t>
            </w:r>
          </w:p>
          <w:p>
            <w:pPr>
              <w:spacing w:line="280" w:lineRule="exact"/>
              <w:rPr>
                <w:rFonts w:ascii="宋体" w:hAnsi="宋体" w:cs="宋体"/>
                <w:color w:val="000000"/>
                <w:kern w:val="0"/>
                <w:szCs w:val="21"/>
              </w:rPr>
            </w:pPr>
            <w:r>
              <w:rPr>
                <w:rFonts w:hint="eastAsia" w:ascii="宋体" w:hAnsi="宋体" w:cs="宋体"/>
                <w:color w:val="000000"/>
                <w:kern w:val="0"/>
                <w:szCs w:val="21"/>
              </w:rPr>
              <w:t>Q7.5.2</w:t>
            </w:r>
          </w:p>
          <w:p>
            <w:pPr>
              <w:spacing w:line="280" w:lineRule="exact"/>
              <w:rPr>
                <w:rFonts w:ascii="宋体" w:hAnsi="宋体" w:cs="宋体"/>
                <w:color w:val="000000"/>
                <w:kern w:val="0"/>
                <w:szCs w:val="21"/>
              </w:rPr>
            </w:pPr>
            <w:r>
              <w:rPr>
                <w:rFonts w:hint="eastAsia" w:ascii="宋体" w:hAnsi="宋体" w:cs="宋体"/>
                <w:color w:val="000000"/>
                <w:kern w:val="0"/>
                <w:szCs w:val="21"/>
              </w:rPr>
              <w:t>Q7.5.3</w:t>
            </w:r>
          </w:p>
          <w:p>
            <w:pPr>
              <w:spacing w:line="280" w:lineRule="exact"/>
              <w:rPr>
                <w:rFonts w:ascii="宋体" w:hAnsi="宋体" w:cs="宋体"/>
                <w:color w:val="000000"/>
                <w:kern w:val="0"/>
                <w:szCs w:val="21"/>
              </w:rPr>
            </w:pP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szCs w:val="21"/>
              </w:rPr>
            </w:pPr>
            <w:r>
              <w:rPr>
                <w:rFonts w:hint="eastAsia"/>
                <w:szCs w:val="21"/>
              </w:rPr>
              <w:t>公司形成了文件化的管理手册、程序文件、三级管理文件以及所要求的记录。公司编制的程序文件基本符合标准要求的所有程序文件，第三层次文件对体系及其相互关系在手册中做了描述，记录表单满足公司目前的质量体系运行的需要。</w:t>
            </w:r>
          </w:p>
          <w:p>
            <w:pPr>
              <w:spacing w:line="280" w:lineRule="exact"/>
              <w:ind w:firstLine="420" w:firstLineChars="200"/>
              <w:rPr>
                <w:szCs w:val="21"/>
              </w:rPr>
            </w:pPr>
            <w:r>
              <w:rPr>
                <w:rFonts w:hint="eastAsia"/>
                <w:szCs w:val="21"/>
              </w:rPr>
              <w:t>公司文件分类：一级文件：管理手册。</w:t>
            </w:r>
          </w:p>
          <w:p>
            <w:pPr>
              <w:spacing w:line="280" w:lineRule="exact"/>
              <w:ind w:firstLine="420" w:firstLineChars="200"/>
              <w:rPr>
                <w:szCs w:val="21"/>
              </w:rPr>
            </w:pPr>
            <w:r>
              <w:rPr>
                <w:rFonts w:hint="eastAsia"/>
                <w:szCs w:val="21"/>
              </w:rPr>
              <w:t>二级文件：公司编制了程序文件，包括质量标准要求的所有程序。</w:t>
            </w:r>
          </w:p>
          <w:p>
            <w:pPr>
              <w:spacing w:line="280" w:lineRule="exact"/>
              <w:ind w:firstLine="420" w:firstLineChars="200"/>
              <w:rPr>
                <w:szCs w:val="21"/>
              </w:rPr>
            </w:pPr>
            <w:r>
              <w:rPr>
                <w:rFonts w:hint="eastAsia"/>
                <w:szCs w:val="21"/>
              </w:rPr>
              <w:t>三层次文件：制度和作业指导书，满足公司目前的管理体系运行的需要。体系文件基本能保证有效性和效率的要求。</w:t>
            </w:r>
          </w:p>
          <w:p>
            <w:pPr>
              <w:spacing w:line="280" w:lineRule="exact"/>
              <w:ind w:firstLine="420" w:firstLineChars="200"/>
              <w:rPr>
                <w:szCs w:val="21"/>
              </w:rPr>
            </w:pPr>
            <w:r>
              <w:rPr>
                <w:rFonts w:hint="eastAsia"/>
                <w:szCs w:val="21"/>
              </w:rPr>
              <w:t>公司编制并实施了《文件管理程序》，文件包括：手册、三体系的程序文件、售后服务管理要求、进货检验指导书、安全生产责任制。无企业标准。</w:t>
            </w:r>
          </w:p>
          <w:p>
            <w:pPr>
              <w:spacing w:line="280" w:lineRule="exact"/>
              <w:ind w:firstLine="420" w:firstLineChars="200"/>
              <w:rPr>
                <w:szCs w:val="21"/>
              </w:rPr>
            </w:pPr>
            <w:r>
              <w:rPr>
                <w:rFonts w:hint="eastAsia"/>
                <w:szCs w:val="21"/>
              </w:rPr>
              <w:t>查管理手册、程序文件等文件，编制：综合部，审核：李麟，批准：刘元芳，</w:t>
            </w:r>
            <w:r>
              <w:rPr>
                <w:rFonts w:hint="eastAsia" w:ascii="宋体" w:hAnsi="宋体" w:cs="宋体"/>
                <w:szCs w:val="21"/>
              </w:rPr>
              <w:t>20</w:t>
            </w:r>
            <w:r>
              <w:rPr>
                <w:rFonts w:ascii="宋体" w:hAnsi="宋体" w:cs="宋体"/>
                <w:szCs w:val="21"/>
              </w:rPr>
              <w:t>21</w:t>
            </w:r>
            <w:r>
              <w:rPr>
                <w:rFonts w:hint="eastAsia" w:ascii="宋体" w:hAnsi="宋体" w:cs="宋体"/>
                <w:szCs w:val="21"/>
              </w:rPr>
              <w:t>年0</w:t>
            </w:r>
            <w:r>
              <w:rPr>
                <w:rFonts w:ascii="宋体" w:hAnsi="宋体" w:cs="宋体"/>
                <w:szCs w:val="21"/>
              </w:rPr>
              <w:t>6</w:t>
            </w:r>
            <w:r>
              <w:rPr>
                <w:rFonts w:hint="eastAsia" w:ascii="宋体" w:hAnsi="宋体" w:cs="宋体"/>
                <w:szCs w:val="21"/>
              </w:rPr>
              <w:t>月</w:t>
            </w:r>
            <w:r>
              <w:rPr>
                <w:rFonts w:ascii="宋体" w:hAnsi="宋体" w:cs="宋体"/>
                <w:szCs w:val="21"/>
              </w:rPr>
              <w:t>10</w:t>
            </w:r>
            <w:r>
              <w:rPr>
                <w:rFonts w:hint="eastAsia" w:ascii="宋体" w:hAnsi="宋体" w:cs="宋体"/>
                <w:szCs w:val="21"/>
              </w:rPr>
              <w:t>日</w:t>
            </w:r>
            <w:r>
              <w:rPr>
                <w:rFonts w:hint="eastAsia"/>
                <w:szCs w:val="21"/>
              </w:rPr>
              <w:t>，查文件编审批手续齐全、文件清晰、编号符合文件控制程序要求。查综合部文件，都有受控标识，有效版本。</w:t>
            </w:r>
          </w:p>
          <w:p>
            <w:pPr>
              <w:rPr>
                <w:highlight w:val="yellow"/>
              </w:rPr>
            </w:pPr>
            <w:r>
              <w:rPr>
                <w:rFonts w:hint="eastAsia"/>
                <w:szCs w:val="21"/>
                <w:highlight w:val="yellow"/>
              </w:rPr>
              <w:t>查看《受控文件清单》、《外来文件清单》，</w:t>
            </w:r>
            <w:r>
              <w:rPr>
                <w:rFonts w:hint="eastAsia"/>
                <w:szCs w:val="21"/>
              </w:rPr>
              <w:t>含有和质量管理体系运行有关的国家法律法规、标准等；行业、地方颁布的条例、标准、规范、规程、办法等，如</w:t>
            </w:r>
            <w:r>
              <w:rPr>
                <w:rFonts w:hint="eastAsia" w:ascii="宋体" w:hAnsi="宋体" w:cs="宋体"/>
                <w:szCs w:val="21"/>
              </w:rPr>
              <w:t>《中华人民共和国产品质量法》、《中华人民共和国固体废物污染环境防治法》</w:t>
            </w:r>
            <w:r>
              <w:rPr>
                <w:rFonts w:hint="eastAsia"/>
                <w:szCs w:val="21"/>
              </w:rPr>
              <w:t>等。</w:t>
            </w:r>
            <w:r>
              <w:rPr>
                <w:rFonts w:hint="eastAsia"/>
                <w:highlight w:val="yellow"/>
              </w:rPr>
              <w:t>缺少销售过程相关的产品标准</w:t>
            </w:r>
            <w:r>
              <w:rPr>
                <w:rFonts w:hint="eastAsia"/>
              </w:rPr>
              <w:t>GB 23350-2021《限制商品过度包装要求 食品和化妆品》</w:t>
            </w:r>
          </w:p>
          <w:p>
            <w:pPr>
              <w:spacing w:line="280" w:lineRule="exact"/>
              <w:ind w:firstLine="420" w:firstLineChars="200"/>
              <w:rPr>
                <w:szCs w:val="21"/>
              </w:rPr>
            </w:pPr>
            <w:r>
              <w:rPr>
                <w:rFonts w:hint="eastAsia"/>
                <w:szCs w:val="21"/>
              </w:rPr>
              <w:t>查《文件收发登记表》：综合部</w:t>
            </w:r>
            <w:r>
              <w:rPr>
                <w:rFonts w:hint="eastAsia" w:ascii="宋体" w:hAnsi="宋体" w:cs="宋体"/>
                <w:szCs w:val="21"/>
              </w:rPr>
              <w:t>20</w:t>
            </w:r>
            <w:r>
              <w:rPr>
                <w:rFonts w:ascii="宋体" w:hAnsi="宋体" w:cs="宋体"/>
                <w:szCs w:val="21"/>
              </w:rPr>
              <w:t>21</w:t>
            </w:r>
            <w:r>
              <w:rPr>
                <w:rFonts w:hint="eastAsia" w:ascii="宋体" w:hAnsi="宋体" w:cs="宋体"/>
                <w:szCs w:val="21"/>
              </w:rPr>
              <w:t>年</w:t>
            </w:r>
            <w:r>
              <w:rPr>
                <w:rFonts w:ascii="宋体" w:hAnsi="宋体" w:cs="宋体"/>
                <w:szCs w:val="21"/>
              </w:rPr>
              <w:t>06</w:t>
            </w:r>
            <w:r>
              <w:rPr>
                <w:rFonts w:hint="eastAsia" w:ascii="宋体" w:hAnsi="宋体" w:cs="宋体"/>
                <w:szCs w:val="21"/>
              </w:rPr>
              <w:t>月</w:t>
            </w:r>
            <w:r>
              <w:rPr>
                <w:rFonts w:ascii="宋体" w:hAnsi="宋体" w:cs="宋体"/>
                <w:szCs w:val="21"/>
              </w:rPr>
              <w:t>10</w:t>
            </w:r>
            <w:r>
              <w:rPr>
                <w:rFonts w:hint="eastAsia" w:ascii="宋体" w:hAnsi="宋体" w:cs="宋体"/>
                <w:szCs w:val="21"/>
              </w:rPr>
              <w:t>日</w:t>
            </w:r>
            <w:r>
              <w:rPr>
                <w:rFonts w:hint="eastAsia"/>
                <w:szCs w:val="21"/>
              </w:rPr>
              <w:t>下发了QES质量手册、程序文件、作业文件汇编。</w:t>
            </w:r>
          </w:p>
          <w:p>
            <w:pPr>
              <w:spacing w:line="280" w:lineRule="exact"/>
              <w:ind w:firstLine="420" w:firstLineChars="200"/>
              <w:rPr>
                <w:szCs w:val="21"/>
              </w:rPr>
            </w:pPr>
            <w:r>
              <w:rPr>
                <w:rFonts w:hint="eastAsia"/>
                <w:szCs w:val="21"/>
              </w:rPr>
              <w:t>公司编制并实施了《记录管理程序》对管理体系记录的标识、贮存、保护、检索、保存期限和处置等作了明确规定，符合要求。公司提供《记录清单》—有重大风险清单、</w:t>
            </w:r>
            <w:r>
              <w:rPr>
                <w:rFonts w:hint="eastAsia" w:ascii="宋体" w:hAnsi="宋体"/>
                <w:color w:val="000000"/>
                <w:szCs w:val="21"/>
              </w:rPr>
              <w:t>设备巡检记录、培训记录表、内部审核检查表、特殊过程确认记录</w:t>
            </w:r>
            <w:r>
              <w:rPr>
                <w:rFonts w:hint="eastAsia"/>
                <w:szCs w:val="21"/>
              </w:rPr>
              <w:t>等记录。明确了记录名称、编号、保存部门、保存期限等。公司各种记录由各使用部门保存，查供销部管理的记录</w:t>
            </w:r>
            <w:r>
              <w:rPr>
                <w:rFonts w:hint="eastAsia"/>
                <w:szCs w:val="21"/>
                <w:highlight w:val="yellow"/>
              </w:rPr>
              <w:t>《特殊过程确认表》编号</w:t>
            </w:r>
            <w:r>
              <w:rPr>
                <w:szCs w:val="21"/>
                <w:highlight w:val="yellow"/>
              </w:rPr>
              <w:t>QR-8.5.1-01</w:t>
            </w:r>
            <w:r>
              <w:rPr>
                <w:rFonts w:hint="eastAsia" w:ascii="宋体" w:hAnsi="宋体"/>
                <w:color w:val="000000"/>
                <w:szCs w:val="21"/>
                <w:highlight w:val="yellow"/>
              </w:rPr>
              <w:t>。</w:t>
            </w:r>
          </w:p>
          <w:p>
            <w:pPr>
              <w:spacing w:line="280" w:lineRule="exact"/>
              <w:ind w:firstLine="420" w:firstLineChars="200"/>
              <w:rPr>
                <w:szCs w:val="21"/>
              </w:rPr>
            </w:pPr>
            <w:r>
              <w:rPr>
                <w:rFonts w:hint="eastAsia"/>
                <w:szCs w:val="21"/>
              </w:rPr>
              <w:t>抽查归档文件整理情况，综合部已将文件进行了分类，按文件的名称、编号及时间装文件袋进行归档，文件较清洁，字迹清晰，检索方便，抽查有内部审核资料、管理评审资料等，均已装订成册。</w:t>
            </w:r>
          </w:p>
          <w:p>
            <w:pPr>
              <w:spacing w:line="280" w:lineRule="exact"/>
              <w:ind w:firstLine="420" w:firstLineChars="200"/>
              <w:rPr>
                <w:rFonts w:ascii="宋体" w:hAnsi="宋体" w:cs="宋体"/>
                <w:szCs w:val="21"/>
              </w:rPr>
            </w:pPr>
            <w:r>
              <w:rPr>
                <w:rFonts w:hint="eastAsia"/>
                <w:szCs w:val="21"/>
              </w:rPr>
              <w:t>查顾客满意度调查表由供销部部门负责保管、归档。</w:t>
            </w:r>
          </w:p>
        </w:tc>
        <w:tc>
          <w:tcPr>
            <w:tcW w:w="1585" w:type="dxa"/>
          </w:tcPr>
          <w:p/>
          <w:p>
            <w:pPr>
              <w:pStyle w:val="2"/>
            </w:pPr>
          </w:p>
          <w:p>
            <w:pPr>
              <w:pStyle w:val="3"/>
              <w:rPr>
                <w:szCs w:val="21"/>
                <w:highlight w:val="yellow"/>
              </w:rPr>
            </w:pPr>
          </w:p>
          <w:p>
            <w:pPr>
              <w:pStyle w:val="3"/>
              <w:rPr>
                <w:szCs w:val="21"/>
                <w:highlight w:val="yellow"/>
              </w:rPr>
            </w:pPr>
            <w:r>
              <w:rPr>
                <w:rFonts w:hint="eastAsia" w:hAnsi="宋体"/>
                <w:szCs w:val="21"/>
                <w:highlight w:val="yellow"/>
              </w:rPr>
              <w:t>N</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89" w:hRule="atLeast"/>
        </w:trPr>
        <w:tc>
          <w:tcPr>
            <w:tcW w:w="2036" w:type="dxa"/>
          </w:tcPr>
          <w:p>
            <w:pPr>
              <w:spacing w:line="280" w:lineRule="exact"/>
              <w:rPr>
                <w:rFonts w:ascii="宋体" w:hAnsi="宋体" w:cs="宋体"/>
                <w:szCs w:val="21"/>
              </w:rPr>
            </w:pPr>
            <w:r>
              <w:rPr>
                <w:rFonts w:hint="eastAsia" w:ascii="宋体" w:hAnsi="宋体" w:cs="宋体"/>
                <w:szCs w:val="21"/>
              </w:rPr>
              <w:t>绩效 总则</w:t>
            </w:r>
          </w:p>
          <w:p>
            <w:pPr>
              <w:spacing w:line="280" w:lineRule="exact"/>
              <w:rPr>
                <w:rFonts w:ascii="宋体" w:hAnsi="宋体" w:cs="宋体"/>
                <w:szCs w:val="21"/>
              </w:rPr>
            </w:pPr>
          </w:p>
        </w:tc>
        <w:tc>
          <w:tcPr>
            <w:tcW w:w="1084" w:type="dxa"/>
          </w:tcPr>
          <w:p>
            <w:pPr>
              <w:spacing w:line="280" w:lineRule="exact"/>
              <w:rPr>
                <w:szCs w:val="21"/>
              </w:rPr>
            </w:pPr>
            <w:r>
              <w:rPr>
                <w:rFonts w:hint="eastAsia"/>
                <w:szCs w:val="21"/>
              </w:rPr>
              <w:t>Q9.1.1</w:t>
            </w:r>
          </w:p>
          <w:p>
            <w:pPr>
              <w:spacing w:line="280" w:lineRule="exact"/>
              <w:rPr>
                <w:rFonts w:ascii="宋体" w:hAnsi="宋体" w:cs="宋体"/>
                <w:color w:val="000000"/>
                <w:kern w:val="0"/>
                <w:szCs w:val="21"/>
              </w:rPr>
            </w:pPr>
          </w:p>
        </w:tc>
        <w:tc>
          <w:tcPr>
            <w:tcW w:w="10004" w:type="dxa"/>
            <w:vAlign w:val="center"/>
          </w:tcPr>
          <w:p>
            <w:pPr>
              <w:spacing w:line="280" w:lineRule="exact"/>
              <w:ind w:firstLine="420" w:firstLineChars="200"/>
              <w:rPr>
                <w:rFonts w:ascii="宋体" w:hAnsi="宋体" w:cs="宋体"/>
                <w:szCs w:val="21"/>
              </w:rPr>
            </w:pPr>
            <w:r>
              <w:rPr>
                <w:rFonts w:hint="eastAsia" w:ascii="宋体" w:hAnsi="宋体" w:cs="宋体"/>
                <w:szCs w:val="21"/>
              </w:rPr>
              <w:t>综合部对管理体系的过程能力进行监视和测量，通过内审对管理体系运行的符合性和有效性进行监测，结论管理体系总体运行有效。详见审核9.2条款；通过管理评审对管理体系的充分性、有效性和适宜性作了肯定的评价。详见审核9.2条款记录；通过目标考评，监测管理体系运行的有效性，提供了202</w:t>
            </w:r>
            <w:r>
              <w:rPr>
                <w:rFonts w:ascii="宋体" w:hAnsi="宋体" w:cs="宋体"/>
                <w:szCs w:val="21"/>
              </w:rPr>
              <w:t>1</w:t>
            </w:r>
            <w:r>
              <w:rPr>
                <w:rFonts w:hint="eastAsia" w:ascii="宋体" w:hAnsi="宋体" w:cs="宋体"/>
                <w:szCs w:val="21"/>
              </w:rPr>
              <w:t>年0</w:t>
            </w:r>
            <w:r>
              <w:rPr>
                <w:rFonts w:ascii="宋体" w:hAnsi="宋体" w:cs="宋体"/>
                <w:szCs w:val="21"/>
              </w:rPr>
              <w:t>6</w:t>
            </w:r>
            <w:r>
              <w:rPr>
                <w:rFonts w:hint="eastAsia" w:ascii="宋体" w:hAnsi="宋体" w:cs="宋体"/>
                <w:szCs w:val="21"/>
              </w:rPr>
              <w:t>月-2021年</w:t>
            </w:r>
            <w:r>
              <w:rPr>
                <w:rFonts w:ascii="宋体" w:hAnsi="宋体" w:cs="宋体"/>
                <w:szCs w:val="21"/>
              </w:rPr>
              <w:t>09</w:t>
            </w:r>
            <w:r>
              <w:rPr>
                <w:rFonts w:hint="eastAsia" w:ascii="宋体" w:hAnsi="宋体" w:cs="宋体"/>
                <w:szCs w:val="21"/>
              </w:rPr>
              <w:t>月目标完成情况，公司及各部门的管理目标均能完成。</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0" w:hRule="atLeast"/>
        </w:trPr>
        <w:tc>
          <w:tcPr>
            <w:tcW w:w="2036" w:type="dxa"/>
          </w:tcPr>
          <w:p>
            <w:pPr>
              <w:spacing w:line="280" w:lineRule="exact"/>
              <w:rPr>
                <w:rFonts w:ascii="宋体" w:hAnsi="宋体" w:cs="宋体"/>
                <w:color w:val="000000"/>
                <w:kern w:val="0"/>
                <w:szCs w:val="21"/>
              </w:rPr>
            </w:pPr>
            <w:r>
              <w:rPr>
                <w:rFonts w:hint="eastAsia" w:ascii="宋体" w:hAnsi="宋体" w:cs="宋体"/>
                <w:color w:val="000000"/>
                <w:kern w:val="0"/>
                <w:szCs w:val="21"/>
              </w:rPr>
              <w:t>分析与评价</w:t>
            </w:r>
          </w:p>
          <w:p>
            <w:pPr>
              <w:spacing w:line="280" w:lineRule="exact"/>
              <w:rPr>
                <w:rFonts w:ascii="宋体" w:hAnsi="宋体" w:cs="宋体"/>
                <w:szCs w:val="21"/>
              </w:rPr>
            </w:pPr>
          </w:p>
        </w:tc>
        <w:tc>
          <w:tcPr>
            <w:tcW w:w="1084" w:type="dxa"/>
          </w:tcPr>
          <w:p>
            <w:pPr>
              <w:spacing w:line="280" w:lineRule="exact"/>
              <w:rPr>
                <w:rFonts w:ascii="宋体" w:hAnsi="宋体" w:cs="宋体"/>
                <w:color w:val="000000"/>
                <w:kern w:val="0"/>
                <w:szCs w:val="21"/>
              </w:rPr>
            </w:pPr>
            <w:r>
              <w:rPr>
                <w:rFonts w:hint="eastAsia" w:ascii="宋体" w:hAnsi="宋体" w:cs="宋体"/>
                <w:color w:val="000000"/>
                <w:kern w:val="0"/>
                <w:szCs w:val="21"/>
              </w:rPr>
              <w:t>Q9.1.3</w:t>
            </w:r>
          </w:p>
          <w:p>
            <w:pPr>
              <w:spacing w:line="280" w:lineRule="exact"/>
              <w:rPr>
                <w:rFonts w:ascii="宋体" w:hAnsi="宋体" w:cs="宋体"/>
                <w:szCs w:val="21"/>
              </w:rPr>
            </w:pPr>
          </w:p>
        </w:tc>
        <w:tc>
          <w:tcPr>
            <w:tcW w:w="10004" w:type="dxa"/>
            <w:vAlign w:val="center"/>
          </w:tcPr>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公司数据包括：对管理体系运行、顾客满意、供方等过程的数据分析。</w:t>
            </w:r>
          </w:p>
          <w:p>
            <w:pPr>
              <w:spacing w:line="280" w:lineRule="exact"/>
              <w:ind w:firstLine="420" w:firstLineChars="200"/>
              <w:rPr>
                <w:rFonts w:ascii="宋体" w:hAnsi="宋体" w:cs="宋体"/>
                <w:color w:val="000000"/>
                <w:kern w:val="0"/>
                <w:szCs w:val="21"/>
              </w:rPr>
            </w:pPr>
            <w:r>
              <w:rPr>
                <w:rFonts w:hint="eastAsia" w:ascii="宋体" w:hAnsi="宋体" w:cs="宋体"/>
                <w:color w:val="000000"/>
                <w:kern w:val="0"/>
                <w:szCs w:val="21"/>
              </w:rPr>
              <w:t>查自公司管理体系运行以来，已经进行搜集信息和数据的活动：管理目标考核、顾客满意度调查供方评价记录表。统计技术查到：调查表用于顾客满意度调查；用于供方调查、评价和选择。</w:t>
            </w:r>
          </w:p>
          <w:p>
            <w:pPr>
              <w:spacing w:line="280" w:lineRule="exact"/>
              <w:ind w:firstLine="420" w:firstLineChars="200"/>
              <w:rPr>
                <w:rFonts w:ascii="宋体" w:hAnsi="宋体" w:cs="宋体"/>
                <w:szCs w:val="21"/>
              </w:rPr>
            </w:pPr>
            <w:r>
              <w:rPr>
                <w:rFonts w:hint="eastAsia" w:ascii="宋体" w:hAnsi="宋体" w:cs="宋体"/>
                <w:color w:val="000000"/>
                <w:kern w:val="0"/>
                <w:szCs w:val="21"/>
              </w:rPr>
              <w:t>公司通过对管理目标的状态评价产品和服务的符合性良好；对顾客满意度评价为达到目标要求；外部供方按时交付和质量经分析均满足要求，绩效良好。通过内审评审公司管理体系的策划已有效实施；通过管理评审评价公司应对风险和机遇所采取措施有效，管理体系有效、绩效良好，评价出管理体系改进的需求有进一步提高顾客满意度。</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036" w:type="dxa"/>
          </w:tcPr>
          <w:p>
            <w:pPr>
              <w:spacing w:line="280" w:lineRule="exact"/>
              <w:rPr>
                <w:rFonts w:ascii="宋体" w:hAnsi="宋体" w:cs="宋体"/>
                <w:szCs w:val="21"/>
              </w:rPr>
            </w:pPr>
            <w:r>
              <w:rPr>
                <w:rFonts w:hint="eastAsia"/>
                <w:sz w:val="24"/>
                <w:szCs w:val="24"/>
              </w:rPr>
              <w:t>内部审核</w:t>
            </w:r>
          </w:p>
        </w:tc>
        <w:tc>
          <w:tcPr>
            <w:tcW w:w="1084" w:type="dxa"/>
          </w:tcPr>
          <w:p>
            <w:pPr>
              <w:spacing w:line="280" w:lineRule="exact"/>
              <w:rPr>
                <w:rFonts w:ascii="宋体" w:hAnsi="宋体" w:cs="宋体"/>
                <w:szCs w:val="21"/>
              </w:rPr>
            </w:pPr>
            <w:r>
              <w:rPr>
                <w:rFonts w:hint="eastAsia" w:ascii="宋体" w:hAnsi="宋体" w:cs="宋体"/>
                <w:szCs w:val="21"/>
              </w:rPr>
              <w:t>Q9.2</w:t>
            </w:r>
          </w:p>
        </w:tc>
        <w:tc>
          <w:tcPr>
            <w:tcW w:w="10004" w:type="dxa"/>
            <w:vAlign w:val="center"/>
          </w:tcPr>
          <w:p>
            <w:pPr>
              <w:snapToGrid w:val="0"/>
              <w:spacing w:line="280" w:lineRule="exact"/>
              <w:ind w:firstLine="420" w:firstLineChars="200"/>
              <w:jc w:val="left"/>
              <w:rPr>
                <w:szCs w:val="21"/>
              </w:rPr>
            </w:pPr>
            <w:r>
              <w:rPr>
                <w:rFonts w:hint="eastAsia"/>
                <w:szCs w:val="21"/>
              </w:rPr>
              <w:t>编制了《内审控制程序》评价质量管理体系活动及其结果是否符合管理体系的要求和是否有效实施，以确保质量管理体系有效运行和进一步完善。由管代定期组织每年进行一次内审，间隔不超过12月份，全体内审员参加。</w:t>
            </w:r>
          </w:p>
          <w:p>
            <w:pPr>
              <w:snapToGrid w:val="0"/>
              <w:spacing w:line="280" w:lineRule="exact"/>
              <w:ind w:firstLine="420" w:firstLineChars="200"/>
              <w:jc w:val="left"/>
              <w:rPr>
                <w:szCs w:val="21"/>
              </w:rPr>
            </w:pPr>
            <w:r>
              <w:rPr>
                <w:rFonts w:hint="eastAsia"/>
                <w:szCs w:val="21"/>
              </w:rPr>
              <w:t>依据ISO9001:2015标准、体系文件、相关法律法规等.编制202</w:t>
            </w:r>
            <w:r>
              <w:rPr>
                <w:szCs w:val="21"/>
              </w:rPr>
              <w:t>1</w:t>
            </w:r>
            <w:r>
              <w:rPr>
                <w:rFonts w:hint="eastAsia"/>
                <w:szCs w:val="21"/>
              </w:rPr>
              <w:t>年内审计划，2021年1</w:t>
            </w:r>
            <w:r>
              <w:rPr>
                <w:szCs w:val="21"/>
              </w:rPr>
              <w:t>0</w:t>
            </w:r>
            <w:r>
              <w:rPr>
                <w:rFonts w:hint="eastAsia"/>
                <w:szCs w:val="21"/>
              </w:rPr>
              <w:t>月进行年度质量管理体系内部审核，审核组：A：李麟 B： 曹晨曦，审核时间：2021.</w:t>
            </w:r>
            <w:r>
              <w:rPr>
                <w:szCs w:val="21"/>
              </w:rPr>
              <w:t>10</w:t>
            </w:r>
            <w:r>
              <w:rPr>
                <w:rFonts w:hint="eastAsia"/>
                <w:szCs w:val="21"/>
              </w:rPr>
              <w:t>.</w:t>
            </w:r>
            <w:r>
              <w:rPr>
                <w:szCs w:val="21"/>
              </w:rPr>
              <w:t>11-10.12</w:t>
            </w:r>
            <w:r>
              <w:rPr>
                <w:rFonts w:hint="eastAsia"/>
                <w:szCs w:val="21"/>
              </w:rPr>
              <w:t>。审核部门包括管理层、综合部、供销部。计划内容涉及各部门，条款覆盖整个体系，时间安排合理，有会议签到表。</w:t>
            </w:r>
          </w:p>
          <w:p>
            <w:pPr>
              <w:snapToGrid w:val="0"/>
              <w:spacing w:line="280" w:lineRule="exact"/>
              <w:ind w:firstLine="420" w:firstLineChars="200"/>
              <w:jc w:val="left"/>
              <w:rPr>
                <w:szCs w:val="21"/>
              </w:rPr>
            </w:pPr>
            <w:r>
              <w:rPr>
                <w:rFonts w:hint="eastAsia"/>
                <w:szCs w:val="21"/>
              </w:rPr>
              <w:t>查《内审检查表》，有管理层、综合部、供销部的审核记录，条款与策划一致，记录真实、完整。包括QEO体系所有条款，没有遗漏。</w:t>
            </w:r>
          </w:p>
          <w:p>
            <w:pPr>
              <w:snapToGrid w:val="0"/>
              <w:spacing w:line="280" w:lineRule="exact"/>
              <w:ind w:firstLine="420" w:firstLineChars="200"/>
              <w:jc w:val="left"/>
              <w:rPr>
                <w:szCs w:val="21"/>
              </w:rPr>
            </w:pPr>
            <w:r>
              <w:rPr>
                <w:rFonts w:hint="eastAsia"/>
                <w:szCs w:val="21"/>
              </w:rPr>
              <w:t>查《不合格报告》本次发现不符合1个，为一般不符合。对于不符合项所采取的纠正等措施，并对相关人员进行了培训。查202</w:t>
            </w:r>
            <w:r>
              <w:rPr>
                <w:szCs w:val="21"/>
              </w:rPr>
              <w:t>1</w:t>
            </w:r>
            <w:r>
              <w:rPr>
                <w:rFonts w:hint="eastAsia"/>
                <w:szCs w:val="21"/>
              </w:rPr>
              <w:t>年度管理体系内部审核报告，审核结论：</w:t>
            </w:r>
            <w:r>
              <w:rPr>
                <w:rFonts w:hint="eastAsia" w:ascii="宋体" w:hAnsi="宋体"/>
                <w:color w:val="000000"/>
                <w:szCs w:val="21"/>
              </w:rPr>
              <w:t>基本符合计划安排和标准的要求，并得到了较有效实施和保持，仍需进一步改进。</w:t>
            </w:r>
          </w:p>
        </w:tc>
        <w:tc>
          <w:tcPr>
            <w:tcW w:w="1585" w:type="dxa"/>
          </w:tcP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838" w:hRule="atLeast"/>
        </w:trPr>
        <w:tc>
          <w:tcPr>
            <w:tcW w:w="2036" w:type="dxa"/>
          </w:tcPr>
          <w:p>
            <w:pPr>
              <w:adjustRightInd w:val="0"/>
              <w:snapToGrid w:val="0"/>
              <w:spacing w:line="280" w:lineRule="exact"/>
              <w:rPr>
                <w:rFonts w:ascii="宋体" w:hAnsi="宋体"/>
                <w:spacing w:val="-12"/>
                <w:szCs w:val="21"/>
              </w:rPr>
            </w:pPr>
            <w:r>
              <w:rPr>
                <w:rFonts w:hint="eastAsia" w:ascii="宋体" w:hAnsi="宋体"/>
                <w:spacing w:val="-12"/>
                <w:szCs w:val="21"/>
              </w:rPr>
              <w:t>不合格和纠正措施</w:t>
            </w:r>
          </w:p>
          <w:p>
            <w:pPr>
              <w:spacing w:line="280" w:lineRule="exact"/>
              <w:rPr>
                <w:rFonts w:ascii="宋体" w:hAnsi="宋体" w:cs="宋体"/>
                <w:szCs w:val="21"/>
              </w:rPr>
            </w:pPr>
          </w:p>
        </w:tc>
        <w:tc>
          <w:tcPr>
            <w:tcW w:w="1084" w:type="dxa"/>
          </w:tcPr>
          <w:p>
            <w:pPr>
              <w:spacing w:line="280" w:lineRule="exact"/>
              <w:rPr>
                <w:rFonts w:ascii="宋体" w:hAnsi="宋体" w:cs="宋体"/>
                <w:szCs w:val="21"/>
              </w:rPr>
            </w:pPr>
            <w:r>
              <w:rPr>
                <w:rFonts w:hint="eastAsia" w:ascii="宋体" w:hAnsi="宋体" w:cs="宋体"/>
                <w:szCs w:val="21"/>
              </w:rPr>
              <w:t>Q10.2</w:t>
            </w:r>
          </w:p>
        </w:tc>
        <w:tc>
          <w:tcPr>
            <w:tcW w:w="10004" w:type="dxa"/>
            <w:vAlign w:val="center"/>
          </w:tcPr>
          <w:p>
            <w:pPr>
              <w:snapToGrid w:val="0"/>
              <w:spacing w:line="280" w:lineRule="exact"/>
              <w:ind w:firstLine="420" w:firstLineChars="200"/>
              <w:jc w:val="left"/>
              <w:rPr>
                <w:szCs w:val="21"/>
              </w:rPr>
            </w:pPr>
            <w:r>
              <w:rPr>
                <w:rFonts w:hint="eastAsia"/>
                <w:szCs w:val="21"/>
              </w:rPr>
              <w:t>编制了《不合格和纠正措施控制程序》各部门在职责和权力范围内开展持续改进活动，当发现存在或潜在的问题时，及时采取纠正措施，并跟踪验证实施效果防止发生不合格或不符合。 公司内审时发现的不符合项进行了原因分析、纠正措施和验证，详见管理层9.2审核记录。</w:t>
            </w:r>
          </w:p>
          <w:p>
            <w:pPr>
              <w:snapToGrid w:val="0"/>
              <w:spacing w:line="280" w:lineRule="exact"/>
              <w:ind w:firstLine="420" w:firstLineChars="200"/>
              <w:jc w:val="left"/>
              <w:rPr>
                <w:rFonts w:hint="eastAsia"/>
                <w:szCs w:val="21"/>
              </w:rPr>
            </w:pPr>
            <w:r>
              <w:rPr>
                <w:rFonts w:hint="eastAsia"/>
                <w:szCs w:val="21"/>
              </w:rPr>
              <w:t>公司对纠正及预防措施的管理基本符合要求。</w:t>
            </w:r>
          </w:p>
        </w:tc>
        <w:tc>
          <w:tcPr>
            <w:tcW w:w="1585" w:type="dxa"/>
          </w:tcPr>
          <w:p/>
        </w:tc>
      </w:tr>
    </w:tbl>
    <w:p>
      <w:r>
        <w:ptab w:relativeTo="margin" w:alignment="center" w:leader="none"/>
      </w:r>
    </w:p>
    <w:p>
      <w:pPr>
        <w:pStyle w:val="6"/>
      </w:pPr>
      <w:r>
        <w:rPr>
          <w:rFonts w:hint="eastAsia"/>
        </w:rPr>
        <w:t>说明：不符合标注N</w:t>
      </w:r>
    </w:p>
    <w:sectPr>
      <w:headerReference r:id="rId3" w:type="default"/>
      <w:footerReference r:id="rId4" w:type="default"/>
      <w:pgSz w:w="16838" w:h="11906" w:orient="landscape"/>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Courier New">
    <w:panose1 w:val="02070309020205020404"/>
    <w:charset w:val="00"/>
    <w:family w:val="modern"/>
    <w:pitch w:val="default"/>
    <w:sig w:usb0="E0002EFF" w:usb1="C0007843" w:usb2="00000009" w:usb3="00000000" w:csb0="400001FF" w:csb1="FFFF0000"/>
  </w:font>
  <w:font w:name="Cambria">
    <w:panose1 w:val="02040503050406030204"/>
    <w:charset w:val="00"/>
    <w:family w:val="roman"/>
    <w:pitch w:val="default"/>
    <w:sig w:usb0="E00006FF" w:usb1="420024FF" w:usb2="02000000" w:usb3="00000000" w:csb0="2000019F" w:csb1="00000000"/>
  </w:font>
  <w:font w:name="仿宋_GB2312">
    <w:altName w:val="仿宋"/>
    <w:panose1 w:val="00000000000000000000"/>
    <w:charset w:val="86"/>
    <w:family w:val="modern"/>
    <w:pitch w:val="default"/>
    <w:sig w:usb0="00000000" w:usb1="00000000" w:usb2="00000010" w:usb3="00000000" w:csb0="00040000" w:csb1="00000000"/>
  </w:font>
  <w:font w:name="仿宋">
    <w:panose1 w:val="02010609060101010101"/>
    <w:charset w:val="86"/>
    <w:family w:val="auto"/>
    <w:pitch w:val="default"/>
    <w:sig w:usb0="800002BF" w:usb1="38CF7CFA" w:usb2="00000016" w:usb3="00000000" w:csb0="00040001" w:csb1="00000000"/>
  </w:font>
  <w:font w:name="隶书">
    <w:panose1 w:val="02010509060101010101"/>
    <w:charset w:val="86"/>
    <w:family w:val="modern"/>
    <w:pitch w:val="default"/>
    <w:sig w:usb0="00000001" w:usb1="080E0000" w:usb2="00000000" w:usb3="00000000" w:csb0="00040000" w:csb1="00000000"/>
  </w:font>
  <w:font w:name="微软雅黑">
    <w:panose1 w:val="020B0503020204020204"/>
    <w:charset w:val="86"/>
    <w:family w:val="auto"/>
    <w:pitch w:val="default"/>
    <w:sig w:usb0="80000287" w:usb1="2ACF3C50" w:usb2="00000016" w:usb3="00000000" w:csb0="0004001F" w:csb1="00000000"/>
  </w:font>
  <w:font w:name="Tahoma">
    <w:panose1 w:val="020B0604030504040204"/>
    <w:charset w:val="00"/>
    <w:family w:val="auto"/>
    <w:pitch w:val="default"/>
    <w:sig w:usb0="E1002EFF" w:usb1="C000605B" w:usb2="00000029" w:usb3="00000000" w:csb0="200101FF" w:csb1="2028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sdt>
    <w:sdtPr>
      <w:id w:val="724900"/>
    </w:sdtPr>
    <w:sdtContent>
      <w:sdt>
        <w:sdtPr>
          <w:id w:val="171357217"/>
        </w:sdtPr>
        <w:sdtContent>
          <w:p>
            <w:pPr>
              <w:pStyle w:val="6"/>
              <w:jc w:val="center"/>
            </w:pPr>
            <w:r>
              <w:rPr>
                <w:b/>
                <w:sz w:val="24"/>
                <w:szCs w:val="24"/>
              </w:rPr>
              <w:fldChar w:fldCharType="begin"/>
            </w:r>
            <w:r>
              <w:rPr>
                <w:b/>
              </w:rPr>
              <w:instrText xml:space="preserve">PAGE</w:instrText>
            </w:r>
            <w:r>
              <w:rPr>
                <w:b/>
                <w:sz w:val="24"/>
                <w:szCs w:val="24"/>
              </w:rPr>
              <w:fldChar w:fldCharType="separate"/>
            </w:r>
            <w:r>
              <w:rPr>
                <w:b/>
              </w:rPr>
              <w:t>1</w:t>
            </w:r>
            <w:r>
              <w:rPr>
                <w:b/>
                <w:sz w:val="24"/>
                <w:szCs w:val="24"/>
              </w:rPr>
              <w:fldChar w:fldCharType="end"/>
            </w:r>
            <w:r>
              <w:rPr>
                <w:lang w:val="zh-CN"/>
              </w:rPr>
              <w:t xml:space="preserve"> / </w:t>
            </w:r>
            <w:r>
              <w:rPr>
                <w:b/>
                <w:sz w:val="24"/>
                <w:szCs w:val="24"/>
              </w:rPr>
              <w:fldChar w:fldCharType="begin"/>
            </w:r>
            <w:r>
              <w:rPr>
                <w:b/>
              </w:rPr>
              <w:instrText xml:space="preserve">NUMPAGES</w:instrText>
            </w:r>
            <w:r>
              <w:rPr>
                <w:b/>
                <w:sz w:val="24"/>
                <w:szCs w:val="24"/>
              </w:rPr>
              <w:fldChar w:fldCharType="separate"/>
            </w:r>
            <w:r>
              <w:rPr>
                <w:b/>
              </w:rPr>
              <w:t>1</w:t>
            </w:r>
            <w:r>
              <w:rPr>
                <w:b/>
                <w:sz w:val="24"/>
                <w:szCs w:val="24"/>
              </w:rPr>
              <w:fldChar w:fldCharType="end"/>
            </w:r>
          </w:p>
        </w:sdtContent>
      </w:sdt>
    </w:sdtContent>
  </w:sdt>
  <w:p>
    <w:pPr>
      <w:pStyle w:val="6"/>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7"/>
      <w:pBdr>
        <w:bottom w:val="none" w:color="auto" w:sz="0" w:space="0"/>
      </w:pBdr>
      <w:tabs>
        <w:tab w:val="left" w:pos="8910"/>
        <w:tab w:val="left" w:pos="9142"/>
        <w:tab w:val="clear" w:pos="4153"/>
      </w:tabs>
      <w:spacing w:line="320" w:lineRule="exact"/>
      <w:ind w:left="-86" w:leftChars="-41" w:firstLine="810" w:firstLineChars="450"/>
      <w:jc w:val="left"/>
      <w:rPr>
        <w:rStyle w:val="14"/>
        <w:rFonts w:hint="default"/>
      </w:rPr>
    </w:pPr>
    <w:r>
      <w:drawing>
        <wp:anchor distT="0" distB="0" distL="114300" distR="114300" simplePos="0" relativeHeight="251660288" behindDoc="1" locked="0" layoutInCell="1" allowOverlap="1">
          <wp:simplePos x="0" y="0"/>
          <wp:positionH relativeFrom="column">
            <wp:posOffset>-635</wp:posOffset>
          </wp:positionH>
          <wp:positionV relativeFrom="paragraph">
            <wp:posOffset>4445</wp:posOffset>
          </wp:positionV>
          <wp:extent cx="410210" cy="433070"/>
          <wp:effectExtent l="19050" t="0" r="8890" b="0"/>
          <wp:wrapTight wrapText="bothSides">
            <wp:wrapPolygon>
              <wp:start x="4012" y="0"/>
              <wp:lineTo x="0" y="3801"/>
              <wp:lineTo x="-1003" y="15202"/>
              <wp:lineTo x="5015" y="20903"/>
              <wp:lineTo x="6019" y="20903"/>
              <wp:lineTo x="16050" y="20903"/>
              <wp:lineTo x="17053" y="20903"/>
              <wp:lineTo x="21065" y="16152"/>
              <wp:lineTo x="21065" y="15202"/>
              <wp:lineTo x="22068" y="9501"/>
              <wp:lineTo x="20062" y="3801"/>
              <wp:lineTo x="17053" y="0"/>
              <wp:lineTo x="4012" y="0"/>
            </wp:wrapPolygon>
          </wp:wrapTight>
          <wp:docPr id="1" name="图片 2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24"/>
                  <pic:cNvPicPr>
                    <a:picLocks noChangeAspect="1" noChangeArrowheads="1"/>
                  </pic:cNvPicPr>
                </pic:nvPicPr>
                <pic:blipFill>
                  <a:blip r:embed="rId1"/>
                  <a:srcRect/>
                  <a:stretch>
                    <a:fillRect/>
                  </a:stretch>
                </pic:blipFill>
                <pic:spPr>
                  <a:xfrm>
                    <a:off x="0" y="0"/>
                    <a:ext cx="410210" cy="433070"/>
                  </a:xfrm>
                  <a:prstGeom prst="rect">
                    <a:avLst/>
                  </a:prstGeom>
                  <a:noFill/>
                  <a:ln w="9525">
                    <a:noFill/>
                    <a:miter lim="800000"/>
                    <a:headEnd/>
                    <a:tailEnd/>
                  </a:ln>
                </pic:spPr>
              </pic:pic>
            </a:graphicData>
          </a:graphic>
        </wp:anchor>
      </w:drawing>
    </w:r>
    <w:r>
      <w:rPr>
        <w:rStyle w:val="14"/>
        <w:rFonts w:hint="default"/>
      </w:rPr>
      <w:t>北京国标联合认证有限公司</w:t>
    </w:r>
    <w:r>
      <w:rPr>
        <w:rStyle w:val="14"/>
        <w:rFonts w:hint="default"/>
      </w:rPr>
      <w:tab/>
    </w:r>
    <w:r>
      <w:rPr>
        <w:rStyle w:val="14"/>
        <w:rFonts w:hint="default"/>
      </w:rPr>
      <w:tab/>
    </w:r>
    <w:r>
      <w:rPr>
        <w:rStyle w:val="14"/>
        <w:rFonts w:hint="default"/>
      </w:rPr>
      <w:tab/>
    </w:r>
  </w:p>
  <w:p>
    <w:pPr>
      <w:pStyle w:val="7"/>
      <w:pBdr>
        <w:bottom w:val="none" w:color="auto" w:sz="0" w:space="0"/>
      </w:pBdr>
      <w:spacing w:line="320" w:lineRule="exact"/>
      <w:jc w:val="left"/>
    </w:pPr>
    <w:r>
      <mc:AlternateContent>
        <mc:Choice Requires="wps">
          <w:drawing>
            <wp:anchor distT="0" distB="0" distL="114300" distR="114300" simplePos="0" relativeHeight="251659264" behindDoc="0" locked="0" layoutInCell="1" allowOverlap="1">
              <wp:simplePos x="0" y="0"/>
              <wp:positionH relativeFrom="column">
                <wp:posOffset>7045325</wp:posOffset>
              </wp:positionH>
              <wp:positionV relativeFrom="paragraph">
                <wp:posOffset>27940</wp:posOffset>
              </wp:positionV>
              <wp:extent cx="2184400" cy="256540"/>
              <wp:effectExtent l="0" t="0" r="0" b="1270"/>
              <wp:wrapNone/>
              <wp:docPr id="2" name="文本框 1"/>
              <wp:cNvGraphicFramePr/>
              <a:graphic xmlns:a="http://schemas.openxmlformats.org/drawingml/2006/main">
                <a:graphicData uri="http://schemas.microsoft.com/office/word/2010/wordprocessingShape">
                  <wps:wsp>
                    <wps:cNvSpPr txBox="1">
                      <a:spLocks noChangeArrowheads="1"/>
                    </wps:cNvSpPr>
                    <wps:spPr bwMode="auto">
                      <a:xfrm>
                        <a:off x="0" y="0"/>
                        <a:ext cx="2184400" cy="256540"/>
                      </a:xfrm>
                      <a:prstGeom prst="rect">
                        <a:avLst/>
                      </a:prstGeom>
                      <a:solidFill>
                        <a:srgbClr val="FFFFFF"/>
                      </a:solidFill>
                      <a:ln>
                        <a:noFill/>
                      </a:ln>
                    </wps:spPr>
                    <wps:txb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wps:txbx>
                    <wps:bodyPr rot="0" vert="horz" wrap="square" lIns="91440" tIns="45720" rIns="91440" bIns="45720" anchor="t" anchorCtr="0" upright="1">
                      <a:noAutofit/>
                    </wps:bodyPr>
                  </wps:wsp>
                </a:graphicData>
              </a:graphic>
            </wp:anchor>
          </w:drawing>
        </mc:Choice>
        <mc:Fallback>
          <w:pict>
            <v:shape id="文本框 1" o:spid="_x0000_s1026" o:spt="202" type="#_x0000_t202" style="position:absolute;left:0pt;margin-left:554.75pt;margin-top:2.2pt;height:20.2pt;width:172pt;z-index:251659264;mso-width-relative:page;mso-height-relative:page;" fillcolor="#FFFFFF" filled="t" stroked="f" coordsize="21600,21600" o:gfxdata="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">
              <v:fill on="t" focussize="0,0"/>
              <v:stroke on="f"/>
              <v:imagedata o:title=""/>
              <o:lock v:ext="edit" aspectratio="f"/>
              <v:textbox>
                <w:txbxContent>
                  <w:p>
                    <w:r>
                      <w:rPr>
                        <w:rFonts w:hint="eastAsia"/>
                        <w:sz w:val="18"/>
                        <w:szCs w:val="18"/>
                      </w:rPr>
                      <w:t>ISC-</w:t>
                    </w:r>
                    <w:r>
                      <w:rPr>
                        <w:sz w:val="18"/>
                        <w:szCs w:val="18"/>
                      </w:rPr>
                      <w:t>B</w:t>
                    </w:r>
                    <w:r>
                      <w:rPr>
                        <w:rFonts w:hint="eastAsia"/>
                        <w:sz w:val="18"/>
                        <w:szCs w:val="18"/>
                      </w:rPr>
                      <w:t>-</w:t>
                    </w:r>
                    <w:r>
                      <w:rPr>
                        <w:sz w:val="18"/>
                        <w:szCs w:val="18"/>
                      </w:rPr>
                      <w:t>I</w:t>
                    </w:r>
                    <w:r>
                      <w:rPr>
                        <w:rFonts w:hint="eastAsia"/>
                        <w:sz w:val="18"/>
                        <w:szCs w:val="18"/>
                      </w:rPr>
                      <w:t>-31管理体系审核记录表(03版)</w:t>
                    </w:r>
                  </w:p>
                </w:txbxContent>
              </v:textbox>
            </v:shape>
          </w:pict>
        </mc:Fallback>
      </mc:AlternateContent>
    </w:r>
    <w:r>
      <w:rPr>
        <w:rStyle w:val="14"/>
        <w:rFonts w:hint="default"/>
        <w:w w:val="90"/>
      </w:rPr>
      <w:t>Beijing International Standard united Certification Co.,Ltd.</w:t>
    </w:r>
  </w:p>
  <w:p>
    <w:pPr>
      <w:pStyle w:val="7"/>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bordersDoNotSurroundHeader w:val="1"/>
  <w:bordersDoNotSurroundFooter w:val="1"/>
  <w:documentProtection w:enforcement="0"/>
  <w:defaultTabStop w:val="420"/>
  <w:drawingGridHorizontalSpacing w:val="105"/>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14B16"/>
    <w:rsid w:val="00007CFD"/>
    <w:rsid w:val="00011ABE"/>
    <w:rsid w:val="00076C21"/>
    <w:rsid w:val="00077C88"/>
    <w:rsid w:val="000A75BA"/>
    <w:rsid w:val="000B0CD5"/>
    <w:rsid w:val="000B6409"/>
    <w:rsid w:val="000F14E3"/>
    <w:rsid w:val="00115E0C"/>
    <w:rsid w:val="00121BF2"/>
    <w:rsid w:val="001311B9"/>
    <w:rsid w:val="00133E72"/>
    <w:rsid w:val="00140940"/>
    <w:rsid w:val="00140A69"/>
    <w:rsid w:val="0016036E"/>
    <w:rsid w:val="001937C7"/>
    <w:rsid w:val="001945D7"/>
    <w:rsid w:val="001A05B6"/>
    <w:rsid w:val="001A3B63"/>
    <w:rsid w:val="001C57A3"/>
    <w:rsid w:val="001F0E7B"/>
    <w:rsid w:val="002533F4"/>
    <w:rsid w:val="00287457"/>
    <w:rsid w:val="002B36EC"/>
    <w:rsid w:val="002C22A6"/>
    <w:rsid w:val="002E29A0"/>
    <w:rsid w:val="002E55EA"/>
    <w:rsid w:val="002F05BD"/>
    <w:rsid w:val="003015FB"/>
    <w:rsid w:val="0032004A"/>
    <w:rsid w:val="003273C2"/>
    <w:rsid w:val="003445A0"/>
    <w:rsid w:val="00382525"/>
    <w:rsid w:val="00384FEF"/>
    <w:rsid w:val="00397D3F"/>
    <w:rsid w:val="003C254E"/>
    <w:rsid w:val="003E434A"/>
    <w:rsid w:val="003F13EF"/>
    <w:rsid w:val="0042030E"/>
    <w:rsid w:val="0043712F"/>
    <w:rsid w:val="004450A7"/>
    <w:rsid w:val="0047490C"/>
    <w:rsid w:val="004819AB"/>
    <w:rsid w:val="004A1272"/>
    <w:rsid w:val="004B20B2"/>
    <w:rsid w:val="004D14C1"/>
    <w:rsid w:val="004D6FC5"/>
    <w:rsid w:val="004E6448"/>
    <w:rsid w:val="004E7665"/>
    <w:rsid w:val="004F4E79"/>
    <w:rsid w:val="00503F34"/>
    <w:rsid w:val="005074C4"/>
    <w:rsid w:val="00507E17"/>
    <w:rsid w:val="00516205"/>
    <w:rsid w:val="00532DE5"/>
    <w:rsid w:val="00551E35"/>
    <w:rsid w:val="0056074B"/>
    <w:rsid w:val="00567182"/>
    <w:rsid w:val="005A2330"/>
    <w:rsid w:val="005A23B2"/>
    <w:rsid w:val="005B6C34"/>
    <w:rsid w:val="005D2531"/>
    <w:rsid w:val="00621EA2"/>
    <w:rsid w:val="006256EF"/>
    <w:rsid w:val="00646303"/>
    <w:rsid w:val="0066353B"/>
    <w:rsid w:val="00672093"/>
    <w:rsid w:val="00672CC5"/>
    <w:rsid w:val="00673D43"/>
    <w:rsid w:val="00680222"/>
    <w:rsid w:val="006842EC"/>
    <w:rsid w:val="006E4E1C"/>
    <w:rsid w:val="006F2650"/>
    <w:rsid w:val="006F2C8A"/>
    <w:rsid w:val="00715292"/>
    <w:rsid w:val="007207CC"/>
    <w:rsid w:val="007469D5"/>
    <w:rsid w:val="0075560B"/>
    <w:rsid w:val="00756C63"/>
    <w:rsid w:val="00761387"/>
    <w:rsid w:val="00774749"/>
    <w:rsid w:val="00775E28"/>
    <w:rsid w:val="007861D2"/>
    <w:rsid w:val="007B4E33"/>
    <w:rsid w:val="007C5A7D"/>
    <w:rsid w:val="007C6A31"/>
    <w:rsid w:val="007E6050"/>
    <w:rsid w:val="0081276F"/>
    <w:rsid w:val="00814B16"/>
    <w:rsid w:val="008242EA"/>
    <w:rsid w:val="008265BB"/>
    <w:rsid w:val="00834CE8"/>
    <w:rsid w:val="0083628F"/>
    <w:rsid w:val="0085042B"/>
    <w:rsid w:val="008631F9"/>
    <w:rsid w:val="008A1509"/>
    <w:rsid w:val="008B3B2F"/>
    <w:rsid w:val="008C01A2"/>
    <w:rsid w:val="008D2E87"/>
    <w:rsid w:val="008D3475"/>
    <w:rsid w:val="0092791F"/>
    <w:rsid w:val="00954D65"/>
    <w:rsid w:val="00955C0E"/>
    <w:rsid w:val="00976860"/>
    <w:rsid w:val="00987BC4"/>
    <w:rsid w:val="00991AEB"/>
    <w:rsid w:val="009977CF"/>
    <w:rsid w:val="009B1072"/>
    <w:rsid w:val="00A01526"/>
    <w:rsid w:val="00A24165"/>
    <w:rsid w:val="00A30F85"/>
    <w:rsid w:val="00A52229"/>
    <w:rsid w:val="00A76F84"/>
    <w:rsid w:val="00A86196"/>
    <w:rsid w:val="00A94706"/>
    <w:rsid w:val="00AD11FF"/>
    <w:rsid w:val="00AE6698"/>
    <w:rsid w:val="00B007F3"/>
    <w:rsid w:val="00B119B7"/>
    <w:rsid w:val="00B361C1"/>
    <w:rsid w:val="00B531A8"/>
    <w:rsid w:val="00B53B05"/>
    <w:rsid w:val="00B6507C"/>
    <w:rsid w:val="00C277AC"/>
    <w:rsid w:val="00C41F32"/>
    <w:rsid w:val="00C4272D"/>
    <w:rsid w:val="00C44388"/>
    <w:rsid w:val="00C60EB8"/>
    <w:rsid w:val="00C827AA"/>
    <w:rsid w:val="00C856E9"/>
    <w:rsid w:val="00C94573"/>
    <w:rsid w:val="00CA1BE3"/>
    <w:rsid w:val="00CD1E5C"/>
    <w:rsid w:val="00CD4ED7"/>
    <w:rsid w:val="00CD58BC"/>
    <w:rsid w:val="00D05DB2"/>
    <w:rsid w:val="00D6037A"/>
    <w:rsid w:val="00D937E0"/>
    <w:rsid w:val="00DE1A2C"/>
    <w:rsid w:val="00DE2FCE"/>
    <w:rsid w:val="00DF19AB"/>
    <w:rsid w:val="00E0114F"/>
    <w:rsid w:val="00E11BD3"/>
    <w:rsid w:val="00E17655"/>
    <w:rsid w:val="00E219A3"/>
    <w:rsid w:val="00E41911"/>
    <w:rsid w:val="00E556FE"/>
    <w:rsid w:val="00E944DC"/>
    <w:rsid w:val="00E97654"/>
    <w:rsid w:val="00EA2EA2"/>
    <w:rsid w:val="00EB1A5C"/>
    <w:rsid w:val="00EB6AAC"/>
    <w:rsid w:val="00ED41DC"/>
    <w:rsid w:val="00F01F3E"/>
    <w:rsid w:val="00F05246"/>
    <w:rsid w:val="00F11424"/>
    <w:rsid w:val="00F13731"/>
    <w:rsid w:val="00F4053F"/>
    <w:rsid w:val="00F43CC1"/>
    <w:rsid w:val="00F52FBD"/>
    <w:rsid w:val="00F5455B"/>
    <w:rsid w:val="00F62C59"/>
    <w:rsid w:val="00FB5026"/>
    <w:rsid w:val="00FB6FAA"/>
    <w:rsid w:val="00FF0A51"/>
    <w:rsid w:val="00FF1D21"/>
    <w:rsid w:val="0A755CD1"/>
    <w:rsid w:val="0C3F07A5"/>
    <w:rsid w:val="11B844E6"/>
    <w:rsid w:val="14AE504E"/>
    <w:rsid w:val="1A3E0E8B"/>
    <w:rsid w:val="1B8F1F28"/>
    <w:rsid w:val="1FF22400"/>
    <w:rsid w:val="2A072B14"/>
    <w:rsid w:val="2E211CB6"/>
    <w:rsid w:val="2ED4398C"/>
    <w:rsid w:val="31063468"/>
    <w:rsid w:val="343B418D"/>
    <w:rsid w:val="35B63E91"/>
    <w:rsid w:val="37BA72A9"/>
    <w:rsid w:val="3AD46224"/>
    <w:rsid w:val="3F752A00"/>
    <w:rsid w:val="454B0736"/>
    <w:rsid w:val="49DB4D08"/>
    <w:rsid w:val="4B51178D"/>
    <w:rsid w:val="4D4D1924"/>
    <w:rsid w:val="4DED56EF"/>
    <w:rsid w:val="4EB537AF"/>
    <w:rsid w:val="4EED3AAD"/>
    <w:rsid w:val="50C02822"/>
    <w:rsid w:val="5420261E"/>
    <w:rsid w:val="54CC7E40"/>
    <w:rsid w:val="587F57E8"/>
    <w:rsid w:val="67BD74E3"/>
    <w:rsid w:val="6BE80056"/>
    <w:rsid w:val="6E636C12"/>
    <w:rsid w:val="71D67955"/>
    <w:rsid w:val="71F52CDD"/>
    <w:rsid w:val="747D06DB"/>
    <w:rsid w:val="76270382"/>
    <w:rsid w:val="76424D10"/>
    <w:rsid w:val="78423CCC"/>
    <w:rsid w:val="7A565302"/>
    <w:rsid w:val="7AD86F5B"/>
    <w:rsid w:val="7C97601C"/>
    <w:rsid w:val="7D9C3418"/>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Calibri" w:hAnsi="Calibri"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0" w:semiHidden="0" w:name="header"/>
    <w:lsdException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0" w:semiHidden="0" w:name="Title"/>
    <w:lsdException w:uiPriority="99" w:name="Closing"/>
    <w:lsdException w:uiPriority="99" w:name="Signature"/>
    <w:lsdException w:uiPriority="1" w:name="Default Paragraph Font"/>
    <w:lsdException w:qFormat="1" w:unhideWhenUsed="0" w:uiPriority="0" w:semiHidden="0"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nhideWhenUsed="0" w:uiPriority="0" w:semiHidden="0" w:name="Plain Text"/>
    <w:lsdException w:uiPriority="99" w:name="E-mail Signature"/>
    <w:lsdException w:uiPriority="99"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lang w:val="en-US" w:eastAsia="zh-CN" w:bidi="ar-SA"/>
    </w:rPr>
  </w:style>
  <w:style w:type="character" w:default="1" w:styleId="10">
    <w:name w:val="Default Paragraph Font"/>
    <w:semiHidden/>
    <w:unhideWhenUsed/>
    <w:uiPriority w:val="1"/>
  </w:style>
  <w:style w:type="table" w:default="1" w:styleId="9">
    <w:name w:val="Normal Table"/>
    <w:semiHidden/>
    <w:unhideWhenUsed/>
    <w:uiPriority w:val="99"/>
    <w:tblPr>
      <w:tblCellMar>
        <w:top w:w="0" w:type="dxa"/>
        <w:left w:w="108" w:type="dxa"/>
        <w:bottom w:w="0" w:type="dxa"/>
        <w:right w:w="108" w:type="dxa"/>
      </w:tblCellMar>
    </w:tblPr>
  </w:style>
  <w:style w:type="paragraph" w:styleId="2">
    <w:name w:val="Body Text"/>
    <w:basedOn w:val="1"/>
    <w:next w:val="3"/>
    <w:qFormat/>
    <w:uiPriority w:val="0"/>
    <w:pPr>
      <w:spacing w:line="300" w:lineRule="exact"/>
    </w:pPr>
    <w:rPr>
      <w:sz w:val="24"/>
    </w:rPr>
  </w:style>
  <w:style w:type="paragraph" w:customStyle="1" w:styleId="3">
    <w:name w:val="Default"/>
    <w:qFormat/>
    <w:uiPriority w:val="0"/>
    <w:pPr>
      <w:widowControl w:val="0"/>
      <w:autoSpaceDE w:val="0"/>
      <w:autoSpaceDN w:val="0"/>
      <w:adjustRightInd w:val="0"/>
    </w:pPr>
    <w:rPr>
      <w:rFonts w:ascii="宋体" w:hAnsi="Calibri" w:eastAsia="宋体" w:cs="宋体"/>
      <w:color w:val="000000"/>
      <w:sz w:val="24"/>
      <w:szCs w:val="24"/>
      <w:lang w:val="en-US" w:eastAsia="zh-CN" w:bidi="ar-SA"/>
    </w:rPr>
  </w:style>
  <w:style w:type="paragraph" w:styleId="4">
    <w:name w:val="Plain Text"/>
    <w:basedOn w:val="1"/>
    <w:uiPriority w:val="0"/>
    <w:rPr>
      <w:rFonts w:ascii="宋体" w:hAnsi="Courier New"/>
    </w:rPr>
  </w:style>
  <w:style w:type="paragraph" w:styleId="5">
    <w:name w:val="Balloon Text"/>
    <w:basedOn w:val="1"/>
    <w:link w:val="13"/>
    <w:semiHidden/>
    <w:unhideWhenUsed/>
    <w:qFormat/>
    <w:uiPriority w:val="99"/>
    <w:rPr>
      <w:sz w:val="18"/>
      <w:szCs w:val="18"/>
    </w:rPr>
  </w:style>
  <w:style w:type="paragraph" w:styleId="6">
    <w:name w:val="footer"/>
    <w:basedOn w:val="1"/>
    <w:link w:val="12"/>
    <w:unhideWhenUsed/>
    <w:uiPriority w:val="99"/>
    <w:pPr>
      <w:tabs>
        <w:tab w:val="center" w:pos="4153"/>
        <w:tab w:val="right" w:pos="8306"/>
      </w:tabs>
      <w:snapToGrid w:val="0"/>
      <w:jc w:val="left"/>
    </w:pPr>
    <w:rPr>
      <w:sz w:val="18"/>
      <w:szCs w:val="18"/>
    </w:rPr>
  </w:style>
  <w:style w:type="paragraph" w:styleId="7">
    <w:name w:val="header"/>
    <w:basedOn w:val="1"/>
    <w:link w:val="11"/>
    <w:unhideWhenUsed/>
    <w:qFormat/>
    <w:uiPriority w:val="0"/>
    <w:pPr>
      <w:pBdr>
        <w:bottom w:val="single" w:color="auto" w:sz="6" w:space="1"/>
      </w:pBdr>
      <w:tabs>
        <w:tab w:val="center" w:pos="4153"/>
        <w:tab w:val="right" w:pos="8306"/>
      </w:tabs>
      <w:snapToGrid w:val="0"/>
      <w:jc w:val="center"/>
    </w:pPr>
    <w:rPr>
      <w:sz w:val="18"/>
      <w:szCs w:val="18"/>
    </w:rPr>
  </w:style>
  <w:style w:type="paragraph" w:styleId="8">
    <w:name w:val="Title"/>
    <w:basedOn w:val="1"/>
    <w:next w:val="1"/>
    <w:qFormat/>
    <w:uiPriority w:val="0"/>
    <w:pPr>
      <w:spacing w:before="240" w:after="60"/>
      <w:jc w:val="center"/>
      <w:outlineLvl w:val="0"/>
    </w:pPr>
    <w:rPr>
      <w:rFonts w:ascii="Cambria" w:hAnsi="Cambria" w:eastAsiaTheme="minorEastAsia"/>
      <w:b/>
      <w:bCs/>
      <w:sz w:val="32"/>
      <w:szCs w:val="32"/>
    </w:rPr>
  </w:style>
  <w:style w:type="character" w:customStyle="1" w:styleId="11">
    <w:name w:val="页眉 字符"/>
    <w:basedOn w:val="10"/>
    <w:link w:val="7"/>
    <w:qFormat/>
    <w:uiPriority w:val="99"/>
    <w:rPr>
      <w:rFonts w:ascii="Times New Roman" w:hAnsi="Times New Roman" w:eastAsia="宋体" w:cs="Times New Roman"/>
      <w:sz w:val="18"/>
      <w:szCs w:val="18"/>
    </w:rPr>
  </w:style>
  <w:style w:type="character" w:customStyle="1" w:styleId="12">
    <w:name w:val="页脚 字符"/>
    <w:basedOn w:val="10"/>
    <w:link w:val="6"/>
    <w:qFormat/>
    <w:uiPriority w:val="99"/>
    <w:rPr>
      <w:rFonts w:ascii="Times New Roman" w:hAnsi="Times New Roman" w:eastAsia="宋体" w:cs="Times New Roman"/>
      <w:sz w:val="18"/>
      <w:szCs w:val="18"/>
    </w:rPr>
  </w:style>
  <w:style w:type="character" w:customStyle="1" w:styleId="13">
    <w:name w:val="批注框文本 字符"/>
    <w:basedOn w:val="10"/>
    <w:link w:val="5"/>
    <w:semiHidden/>
    <w:qFormat/>
    <w:uiPriority w:val="99"/>
    <w:rPr>
      <w:rFonts w:ascii="Times New Roman" w:hAnsi="Times New Roman" w:eastAsia="宋体" w:cs="Times New Roman"/>
      <w:sz w:val="18"/>
      <w:szCs w:val="18"/>
    </w:rPr>
  </w:style>
  <w:style w:type="character" w:customStyle="1" w:styleId="14">
    <w:name w:val="Char Char1"/>
    <w:qFormat/>
    <w:locked/>
    <w:uiPriority w:val="0"/>
    <w:rPr>
      <w:rFonts w:hint="eastAsia" w:ascii="宋体" w:hAnsi="Courier New" w:eastAsia="宋体"/>
      <w:kern w:val="2"/>
      <w:sz w:val="21"/>
      <w:lang w:val="en-US" w:eastAsia="zh-CN" w:bidi="ar-SA"/>
    </w:rPr>
  </w:style>
  <w:style w:type="paragraph" w:customStyle="1" w:styleId="15">
    <w:name w:val="Char"/>
    <w:basedOn w:val="1"/>
    <w:qFormat/>
    <w:uiPriority w:val="0"/>
    <w:rPr>
      <w:rFonts w:ascii="仿宋_GB2312" w:eastAsia="仿宋_GB2312"/>
      <w:b/>
      <w:sz w:val="32"/>
      <w:szCs w:val="32"/>
    </w:rPr>
  </w:style>
  <w:style w:type="paragraph" w:customStyle="1" w:styleId="16">
    <w:name w:val="_Style 2"/>
    <w:basedOn w:val="1"/>
    <w:qFormat/>
    <w:uiPriority w:val="34"/>
    <w:pPr>
      <w:ind w:firstLine="420" w:firstLineChars="200"/>
    </w:pPr>
    <w:rPr>
      <w:rFonts w:ascii="Calibri" w:hAnsi="Calibri"/>
      <w:sz w:val="24"/>
      <w:szCs w:val="22"/>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4</Pages>
  <Words>556</Words>
  <Characters>3175</Characters>
  <Lines>26</Lines>
  <Paragraphs>7</Paragraphs>
  <TotalTime>0</TotalTime>
  <ScaleCrop>false</ScaleCrop>
  <LinksUpToDate>false</LinksUpToDate>
  <CharactersWithSpaces>3724</CharactersWithSpaces>
  <Application>WPS Office_11.1.0.11115_F1E327BC-269C-435d-A152-05C5408002CA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2021-12-18T02:44:00Z</dcterms:created>
  <dc:creator>微软用户</dc:creator>
  <cp:lastModifiedBy>森林</cp:lastModifiedBy>
  <dcterms:modified xsi:type="dcterms:W3CDTF">2021-12-23T01:55:26Z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2052-11.1.0.11115</vt:lpwstr>
  </property>
  <property fmtid="{D5CDD505-2E9C-101B-9397-08002B2CF9AE}" pid="3" name="ICV">
    <vt:lpwstr>C3AAB20C3DE24D1C997A406FB48803CC</vt:lpwstr>
  </property>
</Properties>
</file>