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4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318"/>
        <w:gridCol w:w="1100"/>
        <w:gridCol w:w="1391"/>
        <w:gridCol w:w="1268"/>
        <w:gridCol w:w="1480"/>
        <w:gridCol w:w="186"/>
        <w:gridCol w:w="1505"/>
        <w:gridCol w:w="13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221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23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瑞昌市宏瑞船舶工程有限公司</w:t>
            </w:r>
            <w:bookmarkEnd w:id="7"/>
          </w:p>
        </w:tc>
        <w:tc>
          <w:tcPr>
            <w:tcW w:w="169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5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Q：20.01.01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E：20.01.01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O：20.01.01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吴文龙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Q：20.01.01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E：20.01.01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O：20.01.01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89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18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褚敏杰</w:t>
            </w:r>
          </w:p>
        </w:tc>
        <w:tc>
          <w:tcPr>
            <w:tcW w:w="139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彭鹰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曾赣玲</w:t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221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285" w:type="dxa"/>
            <w:gridSpan w:val="7"/>
            <w:vAlign w:val="center"/>
          </w:tcPr>
          <w:p>
            <w:pPr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运输—吊装—安装—焊接—打磨—油漆—报检—交付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221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285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关键过程：安装、焊接、油漆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需确认的过程：焊接、油漆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221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285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因素有</w:t>
            </w:r>
            <w:r>
              <w:rPr>
                <w:rFonts w:hint="eastAsia"/>
                <w:b/>
                <w:sz w:val="20"/>
              </w:rPr>
              <w:t>固废</w:t>
            </w:r>
            <w:r>
              <w:rPr>
                <w:rFonts w:hint="eastAsia"/>
                <w:b/>
                <w:sz w:val="20"/>
                <w:lang w:val="en-US" w:eastAsia="zh-CN"/>
              </w:rPr>
              <w:t>排放</w:t>
            </w:r>
            <w:r>
              <w:rPr>
                <w:rFonts w:hint="eastAsia"/>
                <w:b/>
                <w:sz w:val="20"/>
              </w:rPr>
              <w:t>、潜在火灾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噪声排放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废气排放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粉尘排放</w:t>
            </w:r>
            <w:r>
              <w:rPr>
                <w:rFonts w:hint="eastAsia"/>
                <w:b/>
                <w:sz w:val="20"/>
                <w:lang w:val="en-US" w:eastAsia="zh-CN"/>
              </w:rPr>
              <w:t>等；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控制措施：运行控制、应急管理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221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285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不可接受风险的危险源</w:t>
            </w: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  <w:r>
              <w:rPr>
                <w:rFonts w:hint="eastAsia"/>
                <w:b/>
                <w:sz w:val="20"/>
              </w:rPr>
              <w:t>机械伤害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粉尘、焊尘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烟尘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噪音伤害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潜在触电、火灾事故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控制措施：运行控制、应急管理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1" w:hRule="atLeast"/>
          <w:jc w:val="center"/>
        </w:trPr>
        <w:tc>
          <w:tcPr>
            <w:tcW w:w="221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285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中华人民共和国产品质量法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中华人民共和国安全生产法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中华人民共和国环境保护法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中华人民共和国消防法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中华人民共和国民法典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通风管道技术规程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通风与空调工程施工质量验收规范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涂装作业安全规程 有机废气净化装置安全技术规定（GB20101-2006）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涂装作业安全规程 有限空间作业安全技术要求（GB12942-2006）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221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285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外观、密封性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221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285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221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吴文龙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8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2213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491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褚敏杰</w:t>
            </w:r>
            <w:bookmarkEnd w:id="9"/>
            <w:bookmarkStart w:id="10" w:name="_GoBack"/>
            <w:bookmarkEnd w:id="10"/>
          </w:p>
        </w:tc>
        <w:tc>
          <w:tcPr>
            <w:tcW w:w="293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86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2021.12.15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A9B4F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7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2021-12-15T08:56:06Z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