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sz w:val="20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-682625</wp:posOffset>
            </wp:positionV>
            <wp:extent cx="7202170" cy="10152380"/>
            <wp:effectExtent l="0" t="0" r="11430" b="7620"/>
            <wp:wrapNone/>
            <wp:docPr id="1" name="图片 1" descr="扫描全能王 2021-12-10 16.2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0 16.22_7"/>
                    <pic:cNvPicPr>
                      <a:picLocks noChangeAspect="1"/>
                    </pic:cNvPicPr>
                  </pic:nvPicPr>
                  <pic:blipFill>
                    <a:blip r:embed="rId6"/>
                    <a:srcRect b="1430"/>
                    <a:stretch>
                      <a:fillRect/>
                    </a:stretch>
                  </pic:blipFill>
                  <pic:spPr>
                    <a:xfrm>
                      <a:off x="0" y="0"/>
                      <a:ext cx="7202170" cy="1015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二轴四档齿轮毛坯减震槽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《二轴四档齿轮毛坯》产品图纸中的减震槽外径要求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1、测量参数范围：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公差范围：T=±1.25mm；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2、测量过程最大允许误差△允≤1/3Ｔ =±1.25×1/10=±0.125mm （取1/10） ；</w:t>
            </w:r>
          </w:p>
          <w:p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3、测量范围：二轴四档齿轮毛坯减震槽内径为φ132mm，选用游标卡尺测量范围为0-200mm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 该游标卡尺的最大允许误差：±0.04mm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H209247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300mm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4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KSZS218019D018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  <w:r>
              <w:rPr>
                <w:rFonts w:hint="eastAsia"/>
                <w:color w:val="000000"/>
              </w:rPr>
              <w:t>0mm，满足计量要求的测量范围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132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编号：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H209247</w:t>
            </w:r>
            <w:r>
              <w:rPr>
                <w:rFonts w:hint="eastAsia"/>
                <w:color w:val="000000"/>
              </w:rPr>
              <w:t>游标卡尺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经校准</w:t>
            </w:r>
            <w:r>
              <w:rPr>
                <w:rFonts w:hint="eastAsia"/>
                <w:color w:val="000000"/>
              </w:rPr>
              <w:t>测量设备示值误差小于测量过程最大允许误差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</w:p>
          <w:p>
            <w:pPr>
              <w:spacing w:line="300" w:lineRule="auto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该计量设备满足测量过程计量要求。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</w:p>
    <w:bookmarkEnd w:id="1"/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B273F5"/>
    <w:rsid w:val="7A4A0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2021-12-10T08:39:29Z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86BD49E8B2B34CC39615942EF2F612A9</vt:lpwstr>
  </property>
</Properties>
</file>