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宝鸡垚鑫淼机械制造有限公司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0204-2019-2021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0204-2019-2021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宝鸡垚鑫淼机械制造有限公司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李海蛟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ISC-2019-0587</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7" w:name="证书有效期"/>
            <w:r>
              <w:rPr>
                <w:rFonts w:cs="宋体" w:asciiTheme="minorEastAsia" w:hAnsiTheme="minorEastAsia"/>
                <w:kern w:val="0"/>
                <w:szCs w:val="21"/>
              </w:rPr>
              <w:t xml:space="preserve">2024-12-17 </w:t>
            </w:r>
            <w:bookmarkEnd w:id="7"/>
            <w:r>
              <w:rPr>
                <w:rFonts w:hint="eastAsia" w:cs="宋体" w:asciiTheme="minorEastAsia" w:hAnsiTheme="minorEastAsia"/>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2021年12月09日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Times New Roman"/>
                <w:color w:val="000000"/>
                <w:szCs w:val="21"/>
              </w:rPr>
              <w:t>李俐</w:t>
            </w:r>
            <w:r>
              <w:rPr>
                <w:rFonts w:hint="eastAsia" w:ascii="宋体" w:hAnsi="宋体" w:eastAsia="宋体" w:cs="Times New Roman"/>
                <w:color w:val="000000"/>
                <w:szCs w:val="21"/>
                <w:lang w:val="en-US" w:eastAsia="zh-CN"/>
              </w:rPr>
              <w:t xml:space="preserve"> </w:t>
            </w:r>
            <w:r>
              <w:rPr>
                <w:rFonts w:hint="eastAsia" w:ascii="宋体" w:hAnsi="宋体" w:eastAsia="宋体" w:cs="Times New Roman"/>
                <w:color w:val="000000"/>
                <w:szCs w:val="21"/>
              </w:rPr>
              <w:t>2021-M1MMS-2222792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cs="宋体" w:asciiTheme="minorEastAsia" w:hAnsiTheme="minorEastAsia"/>
                <w:kern w:val="0"/>
                <w:szCs w:val="21"/>
              </w:rPr>
            </w:pPr>
            <w:r>
              <w:rPr>
                <w:rFonts w:hint="eastAsia" w:ascii="宋体" w:hAnsi="宋体"/>
                <w:color w:val="000000" w:themeColor="text1"/>
                <w:szCs w:val="21"/>
                <w:lang w:val="en-US" w:eastAsia="zh-CN"/>
              </w:rPr>
              <w:t>办公室、质量部、技术部、生产部、采购部</w:t>
            </w:r>
            <w:r>
              <w:rPr>
                <w:rFonts w:hint="eastAsia" w:eastAsia="新宋体"/>
                <w:color w:val="000000" w:themeColor="text1"/>
                <w:szCs w:val="21"/>
              </w:rPr>
              <w:t xml:space="preserve"> </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spacing w:line="360" w:lineRule="auto"/>
        <w:ind w:firstLine="420" w:firstLineChars="200"/>
        <w:jc w:val="left"/>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2020年12月至今，公司日常运行中生产经营平稳，企业未有违反法律、法规问题和产品质量问题的投诉或重大质量事故发生。企业营业执照等资质未发生变化。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Style w:val="10"/>
          <w:rFonts w:ascii="宋体" w:eastAsia="宋体"/>
          <w:color w:val="000000" w:themeColor="text1"/>
          <w:sz w:val="21"/>
          <w:szCs w:val="21"/>
        </w:rPr>
      </w:pPr>
      <w:r>
        <w:rPr>
          <w:rStyle w:val="10"/>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21</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5</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bookmarkStart w:id="11" w:name="_GoBack"/>
      <w:r>
        <w:rPr>
          <w:rFonts w:hint="eastAsia" w:ascii="宋体" w:hAnsi="宋体"/>
          <w:bCs/>
          <w:color w:val="000000" w:themeColor="text1"/>
          <w:szCs w:val="21"/>
          <w:lang w:val="en-US" w:eastAsia="zh-CN"/>
        </w:rPr>
        <w:t>9</w:t>
      </w:r>
      <w:r>
        <w:rPr>
          <w:rFonts w:hint="eastAsia" w:ascii="宋体" w:hAnsi="宋体"/>
          <w:bCs/>
          <w:color w:val="000000" w:themeColor="text1"/>
          <w:szCs w:val="21"/>
        </w:rPr>
        <w:t>月</w:t>
      </w:r>
      <w:r>
        <w:rPr>
          <w:rFonts w:hint="eastAsia" w:ascii="宋体" w:hAnsi="宋体"/>
          <w:bCs/>
          <w:color w:val="000000" w:themeColor="text1"/>
          <w:szCs w:val="21"/>
          <w:lang w:val="en-US" w:eastAsia="zh-CN"/>
        </w:rPr>
        <w:t>25</w:t>
      </w:r>
      <w:r>
        <w:rPr>
          <w:rFonts w:hint="eastAsia" w:ascii="宋体" w:hAnsi="宋体"/>
          <w:bCs/>
          <w:color w:val="000000" w:themeColor="text1"/>
          <w:szCs w:val="21"/>
        </w:rPr>
        <w:t>日</w:t>
      </w:r>
      <w:bookmarkEnd w:id="11"/>
      <w:r>
        <w:rPr>
          <w:rFonts w:hint="eastAsia" w:ascii="宋体" w:hAnsi="宋体"/>
          <w:bCs/>
          <w:color w:val="000000" w:themeColor="text1"/>
          <w:szCs w:val="21"/>
        </w:rPr>
        <w:t>完成整改。</w:t>
      </w:r>
    </w:p>
    <w:p>
      <w:pPr>
        <w:spacing w:line="360" w:lineRule="auto"/>
        <w:rPr>
          <w:rStyle w:val="10"/>
          <w:rFonts w:ascii="宋体" w:eastAsia="宋体"/>
          <w:color w:val="000000" w:themeColor="text1"/>
          <w:sz w:val="21"/>
          <w:szCs w:val="21"/>
        </w:rPr>
      </w:pPr>
      <w:r>
        <w:rPr>
          <w:rFonts w:hint="eastAsia"/>
          <w:color w:val="000000" w:themeColor="text1"/>
          <w:szCs w:val="21"/>
        </w:rPr>
        <w:t>2.2管理评审情况：企业于</w:t>
      </w:r>
      <w:r>
        <w:rPr>
          <w:rFonts w:hint="eastAsia" w:ascii="宋体" w:hAnsi="宋体"/>
          <w:bCs/>
          <w:color w:val="000000" w:themeColor="text1"/>
          <w:szCs w:val="21"/>
        </w:rPr>
        <w:t>20</w:t>
      </w:r>
      <w:r>
        <w:rPr>
          <w:rFonts w:hint="eastAsia" w:ascii="宋体" w:hAnsi="宋体"/>
          <w:bCs/>
          <w:color w:val="000000" w:themeColor="text1"/>
          <w:szCs w:val="21"/>
          <w:lang w:val="en-US" w:eastAsia="zh-CN"/>
        </w:rPr>
        <w:t>21</w:t>
      </w:r>
      <w:r>
        <w:rPr>
          <w:rFonts w:hint="eastAsia" w:ascii="宋体" w:hAnsi="宋体"/>
          <w:bCs/>
          <w:color w:val="000000" w:themeColor="text1"/>
          <w:szCs w:val="21"/>
        </w:rPr>
        <w:t>年</w:t>
      </w:r>
      <w:r>
        <w:rPr>
          <w:rFonts w:hint="eastAsia" w:ascii="宋体" w:hAnsi="宋体"/>
          <w:bCs/>
          <w:color w:val="000000" w:themeColor="text1"/>
          <w:szCs w:val="21"/>
          <w:lang w:val="en-US" w:eastAsia="zh-CN"/>
        </w:rPr>
        <w:t>10</w:t>
      </w:r>
      <w:r>
        <w:rPr>
          <w:rFonts w:hint="eastAsia" w:ascii="宋体" w:hAnsi="宋体"/>
          <w:bCs/>
          <w:color w:val="000000" w:themeColor="text1"/>
          <w:szCs w:val="21"/>
        </w:rPr>
        <w:t>月</w:t>
      </w:r>
      <w:r>
        <w:rPr>
          <w:rFonts w:hint="eastAsia" w:ascii="宋体" w:hAnsi="宋体"/>
          <w:bCs/>
          <w:color w:val="000000" w:themeColor="text1"/>
          <w:szCs w:val="21"/>
          <w:lang w:val="en-US" w:eastAsia="zh-CN"/>
        </w:rPr>
        <w:t>15</w:t>
      </w:r>
      <w:r>
        <w:rPr>
          <w:rFonts w:hint="eastAsia" w:ascii="宋体" w:hAnsi="宋体"/>
          <w:bCs/>
          <w:color w:val="000000" w:themeColor="text1"/>
          <w:szCs w:val="21"/>
        </w:rPr>
        <w:t>日开展了</w:t>
      </w:r>
      <w:r>
        <w:rPr>
          <w:rFonts w:hint="eastAsia"/>
          <w:color w:val="000000" w:themeColor="text1"/>
          <w:szCs w:val="21"/>
          <w:lang w:val="en-US" w:eastAsia="zh-CN"/>
        </w:rPr>
        <w:t>测量体系</w:t>
      </w:r>
      <w:r>
        <w:rPr>
          <w:rFonts w:hint="eastAsia"/>
          <w:color w:val="000000" w:themeColor="text1"/>
          <w:szCs w:val="21"/>
        </w:rPr>
        <w:t>管理评审，会议由公司总经理</w:t>
      </w:r>
      <w:r>
        <w:rPr>
          <w:rFonts w:hint="eastAsia"/>
          <w:color w:val="000000" w:themeColor="text1"/>
          <w:szCs w:val="21"/>
          <w:lang w:val="en-US" w:eastAsia="zh-CN"/>
        </w:rPr>
        <w:t>李文君</w:t>
      </w:r>
      <w:r>
        <w:rPr>
          <w:rFonts w:hint="eastAsia"/>
          <w:color w:val="000000" w:themeColor="text1"/>
          <w:szCs w:val="21"/>
        </w:rPr>
        <w:t>主持，由管理者代表</w:t>
      </w:r>
      <w:r>
        <w:rPr>
          <w:rFonts w:hint="eastAsia"/>
          <w:color w:val="000000" w:themeColor="text1"/>
          <w:szCs w:val="21"/>
          <w:lang w:val="en-US" w:eastAsia="zh-CN"/>
        </w:rPr>
        <w:t>蔡春祥</w:t>
      </w:r>
      <w:r>
        <w:rPr>
          <w:rFonts w:hint="eastAsia"/>
          <w:color w:val="000000" w:themeColor="text1"/>
          <w:szCs w:val="21"/>
        </w:rPr>
        <w:t>汇报了体系运行情况。会议肯定了公司测量管理体系的充分性、有效性和适宜性。形成了管理评审报告，对公司测量管理体系目前存在的</w:t>
      </w:r>
      <w:r>
        <w:rPr>
          <w:rFonts w:hint="eastAsia"/>
          <w:color w:val="000000" w:themeColor="text1"/>
          <w:szCs w:val="21"/>
          <w:lang w:val="en-US" w:eastAsia="zh-CN"/>
        </w:rPr>
        <w:t>3</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default" w:eastAsiaTheme="minorEastAsia"/>
          <w:color w:val="000000" w:themeColor="text1"/>
          <w:lang w:val="en-US" w:eastAsia="zh-CN"/>
        </w:rPr>
        <w:t>齿轮隔垫内孔直径检测</w:t>
      </w:r>
      <w:r>
        <w:rPr>
          <w:rFonts w:hint="eastAsia"/>
          <w:color w:val="000000" w:themeColor="text1"/>
        </w:rPr>
        <w:t>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default" w:eastAsiaTheme="minorEastAsia"/>
          <w:color w:val="000000" w:themeColor="text1"/>
          <w:lang w:val="en-US" w:eastAsia="zh-CN"/>
        </w:rPr>
        <w:t>齿轮隔垫内孔直径检测</w:t>
      </w:r>
      <w:r>
        <w:rPr>
          <w:rFonts w:hint="eastAsia"/>
          <w:color w:val="000000" w:themeColor="text1"/>
        </w:rPr>
        <w:t>过程，测量不确定度评定正确。祥见附件《测量不确定度评定》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default" w:eastAsiaTheme="minorEastAsia"/>
          <w:color w:val="000000" w:themeColor="text1"/>
          <w:lang w:val="en-US" w:eastAsia="zh-CN"/>
        </w:rPr>
        <w:t>齿轮隔垫内孔直径检测</w:t>
      </w:r>
      <w:r>
        <w:rPr>
          <w:rFonts w:hint="eastAsia"/>
          <w:color w:val="000000" w:themeColor="text1"/>
        </w:rPr>
        <w:t>过程，采用比对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default" w:eastAsiaTheme="minorEastAsia"/>
          <w:color w:val="000000" w:themeColor="text1"/>
          <w:lang w:val="en-US" w:eastAsia="zh-CN"/>
        </w:rPr>
        <w:t>齿轮隔垫内孔直径检测</w:t>
      </w:r>
      <w:r>
        <w:rPr>
          <w:rFonts w:hint="eastAsia"/>
          <w:color w:val="000000" w:themeColor="text1"/>
        </w:rPr>
        <w:t>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default" w:eastAsiaTheme="minorEastAsia"/>
          <w:color w:val="000000" w:themeColor="text1"/>
          <w:lang w:val="en-US" w:eastAsia="zh-CN"/>
        </w:rPr>
        <w:t>齿轮隔垫内孔直径检测</w:t>
      </w:r>
      <w:r>
        <w:rPr>
          <w:rFonts w:hint="eastAsia"/>
          <w:color w:val="000000" w:themeColor="text1"/>
        </w:rPr>
        <w:t>过程，</w:t>
      </w:r>
      <w:r>
        <w:rPr>
          <w:rFonts w:hint="eastAsia" w:cs="宋体" w:asciiTheme="minorEastAsia" w:hAnsiTheme="minorEastAsia"/>
          <w:color w:val="000000" w:themeColor="text1"/>
          <w:kern w:val="0"/>
          <w:szCs w:val="21"/>
        </w:rPr>
        <w:t>采用统计技术进行控制和监视测量过程。祥见《测量过程监视记录》</w:t>
      </w:r>
    </w:p>
    <w:p>
      <w:pPr>
        <w:spacing w:line="360" w:lineRule="auto"/>
        <w:ind w:firstLine="420" w:firstLineChars="200"/>
        <w:rPr>
          <w:rFonts w:hint="eastAsia"/>
          <w:color w:val="000000" w:themeColor="text1"/>
          <w:szCs w:val="21"/>
        </w:rPr>
      </w:pPr>
      <w:r>
        <w:rPr>
          <w:rFonts w:hint="eastAsia" w:cs="宋体" w:asciiTheme="minorEastAsia" w:hAnsiTheme="minorEastAsia"/>
          <w:color w:val="000000" w:themeColor="text1"/>
          <w:kern w:val="0"/>
          <w:szCs w:val="21"/>
        </w:rPr>
        <w:t>f)测量设备的溯源：</w:t>
      </w:r>
      <w:r>
        <w:rPr>
          <w:rFonts w:hint="eastAsia"/>
          <w:color w:val="000000" w:themeColor="text1"/>
          <w:szCs w:val="21"/>
        </w:rPr>
        <w:t>公司</w:t>
      </w:r>
      <w:r>
        <w:rPr>
          <w:rFonts w:hint="eastAsia"/>
          <w:color w:val="000000" w:themeColor="text1"/>
          <w:szCs w:val="21"/>
          <w:lang w:val="en-US" w:eastAsia="zh-CN"/>
        </w:rPr>
        <w:t>未建立计量</w:t>
      </w:r>
      <w:r>
        <w:rPr>
          <w:rFonts w:hint="eastAsia"/>
          <w:color w:val="000000" w:themeColor="text1"/>
          <w:szCs w:val="21"/>
        </w:rPr>
        <w:t>标准，测量设备送至</w:t>
      </w:r>
      <w:r>
        <w:rPr>
          <w:rFonts w:hint="eastAsia"/>
          <w:color w:val="000000" w:themeColor="text1"/>
          <w:sz w:val="18"/>
          <w:szCs w:val="18"/>
          <w:lang w:val="en-US" w:eastAsia="zh-CN"/>
        </w:rPr>
        <w:t>江苏世通仪器检测服务有限公司</w:t>
      </w:r>
      <w:r>
        <w:rPr>
          <w:rFonts w:hint="eastAsia"/>
          <w:color w:val="000000" w:themeColor="text1"/>
          <w:szCs w:val="21"/>
        </w:rPr>
        <w:t>校准，抽查</w:t>
      </w:r>
      <w:r>
        <w:rPr>
          <w:rFonts w:hint="eastAsia"/>
          <w:color w:val="000000" w:themeColor="text1"/>
          <w:szCs w:val="21"/>
          <w:lang w:val="en-US" w:eastAsia="zh-CN"/>
        </w:rPr>
        <w:t>8</w:t>
      </w:r>
      <w:r>
        <w:rPr>
          <w:rFonts w:hint="eastAsia"/>
          <w:color w:val="000000" w:themeColor="text1"/>
          <w:szCs w:val="21"/>
        </w:rPr>
        <w:t>台件测量设备，符合量值溯源性管理的要求</w:t>
      </w:r>
      <w:r>
        <w:rPr>
          <w:rFonts w:hint="eastAsia"/>
          <w:color w:val="000000" w:themeColor="text1"/>
          <w:szCs w:val="21"/>
          <w:lang w:eastAsia="zh-CN"/>
        </w:rPr>
        <w:t>，</w:t>
      </w:r>
      <w:r>
        <w:rPr>
          <w:rFonts w:hint="eastAsia"/>
          <w:color w:val="000000" w:themeColor="text1"/>
          <w:szCs w:val="21"/>
        </w:rPr>
        <w:t>祥见《测量设备溯源检查表》</w:t>
      </w:r>
    </w:p>
    <w:p>
      <w:pPr>
        <w:spacing w:line="360" w:lineRule="auto"/>
        <w:rPr>
          <w:rFonts w:hint="eastAsia"/>
          <w:color w:val="000000" w:themeColor="text1"/>
          <w:szCs w:val="21"/>
        </w:rPr>
      </w:pPr>
      <w:r>
        <w:rPr>
          <w:rFonts w:hint="eastAsia"/>
          <w:color w:val="000000" w:themeColor="text1"/>
          <w:szCs w:val="21"/>
        </w:rPr>
        <w:t>4.能源管理情况：</w:t>
      </w:r>
    </w:p>
    <w:p>
      <w:pPr>
        <w:spacing w:line="360" w:lineRule="auto"/>
        <w:ind w:firstLine="420" w:firstLineChars="200"/>
        <w:rPr>
          <w:rFonts w:hint="eastAsia"/>
          <w:color w:val="000000" w:themeColor="text1"/>
          <w:szCs w:val="21"/>
        </w:rPr>
      </w:pPr>
      <w:r>
        <w:rPr>
          <w:rFonts w:hint="eastAsia"/>
          <w:color w:val="000000" w:themeColor="text1"/>
          <w:szCs w:val="21"/>
        </w:rPr>
        <w:t>企业20</w:t>
      </w:r>
      <w:r>
        <w:rPr>
          <w:rFonts w:hint="eastAsia"/>
          <w:color w:val="000000" w:themeColor="text1"/>
          <w:szCs w:val="21"/>
          <w:lang w:val="en-US" w:eastAsia="zh-CN"/>
        </w:rPr>
        <w:t>20</w:t>
      </w:r>
      <w:r>
        <w:rPr>
          <w:rFonts w:hint="eastAsia"/>
          <w:color w:val="000000" w:themeColor="text1"/>
          <w:szCs w:val="21"/>
        </w:rPr>
        <w:t>年耗能</w:t>
      </w:r>
      <w:r>
        <w:rPr>
          <w:rFonts w:hint="eastAsia"/>
          <w:color w:val="000000" w:themeColor="text1"/>
          <w:szCs w:val="21"/>
          <w:lang w:val="en-US" w:eastAsia="zh-CN"/>
        </w:rPr>
        <w:t>32.1</w:t>
      </w:r>
      <w:r>
        <w:rPr>
          <w:rFonts w:hint="eastAsia"/>
          <w:color w:val="000000" w:themeColor="text1"/>
          <w:szCs w:val="21"/>
        </w:rPr>
        <w:t>吨标准煤</w:t>
      </w:r>
      <w:r>
        <w:rPr>
          <w:rFonts w:hint="eastAsia"/>
          <w:color w:val="000000" w:themeColor="text1"/>
          <w:szCs w:val="21"/>
          <w:lang w:eastAsia="zh-CN"/>
        </w:rPr>
        <w:t>，</w:t>
      </w:r>
      <w:r>
        <w:rPr>
          <w:rFonts w:hint="eastAsia"/>
          <w:color w:val="000000" w:themeColor="text1"/>
          <w:szCs w:val="21"/>
          <w:lang w:val="en-US" w:eastAsia="zh-CN"/>
        </w:rPr>
        <w:t>不是</w:t>
      </w:r>
      <w:r>
        <w:rPr>
          <w:rFonts w:hint="eastAsia"/>
          <w:color w:val="000000" w:themeColor="text1"/>
          <w:szCs w:val="21"/>
        </w:rPr>
        <w:t>重点耗能单位，</w:t>
      </w:r>
      <w:r>
        <w:rPr>
          <w:rFonts w:hint="eastAsia"/>
          <w:color w:val="000000" w:themeColor="text1"/>
          <w:szCs w:val="21"/>
          <w:lang w:val="en-US" w:eastAsia="zh-CN"/>
        </w:rPr>
        <w:t>能源计量器具纳入测量设备管理</w:t>
      </w:r>
      <w:r>
        <w:rPr>
          <w:rFonts w:hint="eastAsia"/>
          <w:color w:val="000000" w:themeColor="text1"/>
          <w:szCs w:val="21"/>
        </w:rPr>
        <w:t>，能源测量设备配备率满足要求</w:t>
      </w:r>
      <w:r>
        <w:rPr>
          <w:rFonts w:hint="eastAsia"/>
          <w:color w:val="000000" w:themeColor="text1"/>
          <w:szCs w:val="21"/>
          <w:lang w:eastAsia="zh-CN"/>
        </w:rPr>
        <w:t>，</w:t>
      </w:r>
      <w:r>
        <w:rPr>
          <w:rFonts w:hint="eastAsia"/>
          <w:color w:val="000000" w:themeColor="text1"/>
          <w:szCs w:val="21"/>
        </w:rPr>
        <w:t>能源计量管理满足GB17167要求。</w:t>
      </w:r>
    </w:p>
    <w:p>
      <w:pPr>
        <w:numPr>
          <w:ilvl w:val="0"/>
          <w:numId w:val="1"/>
        </w:numPr>
        <w:spacing w:line="360" w:lineRule="auto"/>
        <w:rPr>
          <w:rFonts w:hint="eastAsia"/>
          <w:color w:val="000000" w:themeColor="text1"/>
          <w:szCs w:val="21"/>
        </w:rPr>
      </w:pPr>
      <w:r>
        <w:rPr>
          <w:rFonts w:hint="eastAsia"/>
          <w:color w:val="000000" w:themeColor="text1"/>
          <w:szCs w:val="21"/>
        </w:rPr>
        <w:t>对认证审核时提出的的不符合项的纠正措施情况有表述： </w:t>
      </w:r>
    </w:p>
    <w:p>
      <w:pPr>
        <w:numPr>
          <w:ilvl w:val="0"/>
          <w:numId w:val="0"/>
        </w:numPr>
        <w:spacing w:line="360" w:lineRule="auto"/>
        <w:ind w:firstLine="420" w:firstLineChars="200"/>
        <w:rPr>
          <w:rFonts w:hint="default" w:ascii="宋体" w:hAnsi="宋体" w:cs="宋体"/>
          <w:bCs/>
          <w:color w:val="000000" w:themeColor="text1"/>
          <w:kern w:val="0"/>
          <w:szCs w:val="21"/>
          <w:lang w:val="en-US"/>
        </w:rPr>
      </w:pPr>
      <w:r>
        <w:rPr>
          <w:rFonts w:hint="eastAsia" w:ascii="宋体" w:hAnsi="宋体" w:cs="宋体"/>
          <w:bCs/>
          <w:color w:val="000000" w:themeColor="text1"/>
          <w:kern w:val="0"/>
          <w:szCs w:val="21"/>
        </w:rPr>
        <w:t>查20</w:t>
      </w: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年外审开出了一项不符合项报告：</w:t>
      </w:r>
      <w:r>
        <w:rPr>
          <w:rFonts w:hint="eastAsia" w:ascii="宋体" w:hAnsi="宋体" w:cs="宋体"/>
          <w:bCs/>
          <w:color w:val="000000" w:themeColor="text1"/>
          <w:kern w:val="0"/>
          <w:szCs w:val="21"/>
          <w:lang w:val="en-US" w:eastAsia="zh-CN"/>
        </w:rPr>
        <w:t>1</w:t>
      </w:r>
      <w:r>
        <w:rPr>
          <w:rFonts w:hint="eastAsia" w:ascii="宋体" w:hAnsi="宋体" w:cs="宋体"/>
          <w:color w:val="000000" w:themeColor="text1"/>
          <w:kern w:val="0"/>
          <w:szCs w:val="21"/>
          <w:lang w:val="en-US" w:eastAsia="zh-CN"/>
        </w:rPr>
        <w:t xml:space="preserve"> 、对提供校准服务的</w:t>
      </w:r>
      <w:r>
        <w:rPr>
          <w:rFonts w:hint="eastAsia"/>
          <w:color w:val="000000" w:themeColor="text1"/>
          <w:szCs w:val="21"/>
          <w:lang w:val="en-US" w:eastAsia="zh-CN"/>
        </w:rPr>
        <w:t>江苏世通仪器检测服务有限公司的能力证明材料没有评价确认并形成记录；2、</w:t>
      </w:r>
      <w:r>
        <w:rPr>
          <w:rFonts w:hint="eastAsia" w:ascii="宋体" w:hAnsi="宋体" w:cs="宋体"/>
          <w:color w:val="000000" w:themeColor="text1"/>
          <w:kern w:val="0"/>
          <w:szCs w:val="21"/>
          <w:lang w:val="en-US" w:eastAsia="zh-CN"/>
        </w:rPr>
        <w:t xml:space="preserve"> 检验室编号为R1942的HR-150A洛氏硬度计未按校准间隔规定实施校准验证</w:t>
      </w:r>
      <w:r>
        <w:rPr>
          <w:rFonts w:hint="eastAsia"/>
          <w:color w:val="000000" w:themeColor="text1"/>
          <w:szCs w:val="21"/>
          <w:lang w:val="en-US" w:eastAsia="zh-CN"/>
        </w:rPr>
        <w:t>。</w:t>
      </w:r>
    </w:p>
    <w:p>
      <w:pPr>
        <w:widowControl/>
        <w:spacing w:line="360" w:lineRule="auto"/>
        <w:rPr>
          <w:rFonts w:cs="宋体" w:asciiTheme="minorEastAsia" w:hAnsiTheme="minorEastAsia"/>
          <w:color w:val="000000" w:themeColor="text1"/>
          <w:kern w:val="0"/>
          <w:szCs w:val="21"/>
        </w:rPr>
      </w:pPr>
      <w:r>
        <w:rPr>
          <w:rFonts w:hint="eastAsia" w:ascii="宋体" w:hAnsi="宋体" w:cs="宋体"/>
          <w:bCs/>
          <w:color w:val="000000" w:themeColor="text1"/>
          <w:kern w:val="0"/>
          <w:szCs w:val="21"/>
        </w:rPr>
        <w:t>企业对不符合组织了纠正，1.</w:t>
      </w:r>
      <w:r>
        <w:rPr>
          <w:rFonts w:hint="eastAsia" w:ascii="宋体" w:hAnsi="宋体" w:cs="宋体"/>
          <w:color w:val="000000" w:themeColor="text1"/>
          <w:kern w:val="0"/>
          <w:szCs w:val="21"/>
          <w:lang w:val="en-US" w:eastAsia="zh-CN"/>
        </w:rPr>
        <w:t>质量部负责对公司测量设备校准机构实施评价并做好评价记录；</w:t>
      </w:r>
      <w:r>
        <w:rPr>
          <w:rFonts w:hint="eastAsia" w:ascii="宋体" w:hAnsi="宋体" w:cs="宋体"/>
          <w:bCs/>
          <w:color w:val="000000" w:themeColor="text1"/>
          <w:kern w:val="0"/>
          <w:szCs w:val="21"/>
        </w:rPr>
        <w:t>2.</w:t>
      </w:r>
      <w:r>
        <w:rPr>
          <w:rFonts w:hint="eastAsia" w:ascii="宋体" w:hAnsi="宋体" w:cs="宋体"/>
          <w:color w:val="000000" w:themeColor="text1"/>
          <w:kern w:val="0"/>
          <w:szCs w:val="21"/>
          <w:lang w:val="en-US" w:eastAsia="zh-CN"/>
        </w:rPr>
        <w:t>质量部负责联系校准机构对该硬度计实施校准并依据校准结果验证，对相关人员进行培训，举一反三</w:t>
      </w:r>
      <w:r>
        <w:rPr>
          <w:rFonts w:hint="eastAsia" w:ascii="宋体" w:hAnsi="宋体" w:cs="宋体"/>
          <w:bCs/>
          <w:color w:val="000000" w:themeColor="text1"/>
          <w:kern w:val="0"/>
          <w:szCs w:val="21"/>
        </w:rPr>
        <w:t>避免相同问题重复发生。验证该不符合项纠正措施有效，同意关闭。</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企业2020年有未有顾客的投诉。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5</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年1月到11月质量目标完成情况检查表，按目标、措施、完成情况、未完成情况进行统计，记录内容全，每月统计，质量目标管理满足要求。</w:t>
      </w:r>
    </w:p>
    <w:p>
      <w:pPr>
        <w:widowControl/>
        <w:numPr>
          <w:ilvl w:val="0"/>
          <w:numId w:val="2"/>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textAlignment w:val="auto"/>
        <w:rPr>
          <w:rFonts w:hint="default" w:asciiTheme="minorEastAsia" w:hAnsiTheme="minorEastAsia"/>
          <w:bCs/>
          <w:color w:val="000000" w:themeColor="text1"/>
          <w:szCs w:val="21"/>
          <w:lang w:val="en-US" w:eastAsia="zh-CN"/>
        </w:rPr>
      </w:pPr>
      <w:r>
        <w:rPr>
          <w:rFonts w:hint="eastAsia" w:asciiTheme="minorEastAsia" w:hAnsiTheme="minorEastAsia"/>
          <w:bCs/>
          <w:color w:val="000000" w:themeColor="text1"/>
          <w:szCs w:val="21"/>
          <w:lang w:val="en-US" w:eastAsia="zh-CN"/>
        </w:rPr>
        <w:t>10.本次监督审核开出一个次要不符合项，未发现严重不符合项</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cs="宋体" w:asciiTheme="minorEastAsia" w:hAnsiTheme="minorEastAsia" w:eastAsiaTheme="minorEastAsia"/>
          <w:bCs/>
          <w:color w:val="0070C0"/>
          <w:kern w:val="0"/>
          <w:szCs w:val="21"/>
          <w:lang w:eastAsia="zh-CN"/>
        </w:rPr>
      </w:pPr>
      <w:r>
        <w:rPr>
          <w:rFonts w:hint="eastAsia" w:asciiTheme="minorEastAsia" w:hAnsiTheme="minorEastAsia"/>
          <w:bCs/>
          <w:color w:val="000000" w:themeColor="text1"/>
          <w:szCs w:val="21"/>
          <w:lang w:val="en-US" w:eastAsia="zh-CN"/>
        </w:rPr>
        <w:t xml:space="preserve">10.1 </w:t>
      </w:r>
      <w:r>
        <w:rPr>
          <w:rFonts w:hint="eastAsia"/>
          <w:bCs/>
          <w:color w:val="000000" w:themeColor="text1"/>
          <w:szCs w:val="21"/>
          <w:lang w:val="en-US" w:eastAsia="zh-CN"/>
        </w:rPr>
        <w:t xml:space="preserve"> 查生产部，编号：6105393991数显游标卡尺，不能提供有效溯源证明，不符合GB/T19022标准条款7.3.2 要求。</w:t>
      </w:r>
    </w:p>
    <w:p>
      <w:pPr>
        <w:keepNext w:val="0"/>
        <w:keepLines w:val="0"/>
        <w:pageBreakBefore w:val="0"/>
        <w:kinsoku/>
        <w:wordWrap/>
        <w:overflowPunct/>
        <w:topLinePunct w:val="0"/>
        <w:autoSpaceDE/>
        <w:autoSpaceDN/>
        <w:bidi w:val="0"/>
        <w:adjustRightInd w:val="0"/>
        <w:snapToGrid w:val="0"/>
        <w:spacing w:line="360" w:lineRule="auto"/>
        <w:ind w:right="-512" w:rightChars="-244"/>
        <w:textAlignment w:val="auto"/>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1"/>
          <w:rFonts w:hint="eastAsia" w:ascii="宋体" w:hAnsi="宋体" w:eastAsia="宋体"/>
          <w:color w:val="000000" w:themeColor="text1"/>
          <w:sz w:val="21"/>
          <w:szCs w:val="21"/>
        </w:rPr>
        <w:t>通过20</w:t>
      </w:r>
      <w:r>
        <w:rPr>
          <w:rStyle w:val="11"/>
          <w:rFonts w:hint="eastAsia" w:ascii="宋体" w:hAnsi="宋体" w:eastAsia="宋体"/>
          <w:color w:val="000000" w:themeColor="text1"/>
          <w:sz w:val="21"/>
          <w:szCs w:val="21"/>
          <w:lang w:val="en-US" w:eastAsia="zh-CN"/>
        </w:rPr>
        <w:t>21</w:t>
      </w:r>
      <w:r>
        <w:rPr>
          <w:rStyle w:val="11"/>
          <w:rFonts w:ascii="宋体" w:hAnsi="宋体" w:eastAsia="宋体"/>
          <w:color w:val="000000" w:themeColor="text1"/>
          <w:sz w:val="21"/>
          <w:szCs w:val="21"/>
        </w:rPr>
        <w:t>年</w:t>
      </w:r>
      <w:r>
        <w:rPr>
          <w:rStyle w:val="11"/>
          <w:rFonts w:hint="eastAsia" w:ascii="宋体" w:hAnsi="宋体" w:eastAsia="宋体"/>
          <w:color w:val="000000" w:themeColor="text1"/>
          <w:sz w:val="21"/>
          <w:szCs w:val="21"/>
          <w:lang w:val="en-US" w:eastAsia="zh-CN"/>
        </w:rPr>
        <w:t>12</w:t>
      </w:r>
      <w:r>
        <w:rPr>
          <w:rStyle w:val="11"/>
          <w:rFonts w:ascii="宋体" w:hAnsi="宋体" w:eastAsia="宋体"/>
          <w:color w:val="000000" w:themeColor="text1"/>
          <w:sz w:val="21"/>
          <w:szCs w:val="21"/>
        </w:rPr>
        <w:t>月</w:t>
      </w:r>
      <w:r>
        <w:rPr>
          <w:rStyle w:val="11"/>
          <w:rFonts w:hint="eastAsia" w:ascii="宋体" w:hAnsi="宋体" w:eastAsia="宋体"/>
          <w:color w:val="000000" w:themeColor="text1"/>
          <w:sz w:val="21"/>
          <w:szCs w:val="21"/>
          <w:lang w:val="en-US" w:eastAsia="zh-CN"/>
        </w:rPr>
        <w:t>9</w:t>
      </w:r>
      <w:r>
        <w:rPr>
          <w:rStyle w:val="11"/>
          <w:rFonts w:ascii="宋体" w:hAnsi="宋体" w:eastAsia="宋体"/>
          <w:color w:val="000000" w:themeColor="text1"/>
          <w:sz w:val="21"/>
          <w:szCs w:val="21"/>
        </w:rPr>
        <w:t>日</w:t>
      </w:r>
      <w:r>
        <w:rPr>
          <w:rStyle w:val="11"/>
          <w:rFonts w:hint="eastAsia" w:ascii="宋体" w:hAnsi="宋体" w:eastAsia="宋体"/>
          <w:color w:val="000000" w:themeColor="text1"/>
          <w:sz w:val="21"/>
          <w:szCs w:val="21"/>
        </w:rPr>
        <w:t>，</w:t>
      </w:r>
      <w:r>
        <w:rPr>
          <w:rStyle w:val="11"/>
          <w:rFonts w:ascii="宋体" w:hAnsi="宋体" w:eastAsia="宋体"/>
          <w:color w:val="000000" w:themeColor="text1"/>
          <w:sz w:val="21"/>
          <w:szCs w:val="21"/>
        </w:rPr>
        <w:t>对</w:t>
      </w:r>
      <w:r>
        <w:rPr>
          <w:rFonts w:cs="宋体" w:asciiTheme="minorEastAsia" w:hAnsiTheme="minorEastAsia"/>
          <w:color w:val="000000" w:themeColor="text1"/>
          <w:kern w:val="0"/>
          <w:szCs w:val="21"/>
        </w:rPr>
        <w:t>宝鸡垚鑫淼机械制造有限公司</w:t>
      </w:r>
      <w:r>
        <w:rPr>
          <w:rStyle w:val="11"/>
          <w:rFonts w:hint="eastAsia" w:ascii="宋体" w:hAnsi="宋体" w:eastAsia="宋体"/>
          <w:color w:val="000000" w:themeColor="text1"/>
          <w:sz w:val="21"/>
          <w:szCs w:val="21"/>
        </w:rPr>
        <w:t>监督</w:t>
      </w:r>
      <w:r>
        <w:rPr>
          <w:rStyle w:val="11"/>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rPr>
        <w:t>宝鸡垚鑫淼机械制造有限公司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1448435</wp:posOffset>
            </wp:positionH>
            <wp:positionV relativeFrom="paragraph">
              <wp:posOffset>276860</wp:posOffset>
            </wp:positionV>
            <wp:extent cx="424815" cy="326390"/>
            <wp:effectExtent l="0" t="0" r="6985" b="381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24815" cy="326390"/>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2021.12.9</w:t>
      </w:r>
    </w:p>
    <w:p>
      <w:pPr>
        <w:widowControl/>
        <w:spacing w:line="276" w:lineRule="auto"/>
        <w:ind w:right="945"/>
        <w:jc w:val="left"/>
        <w:rPr>
          <w:rFonts w:hint="eastAsia" w:ascii="宋体" w:hAnsi="宋体" w:eastAsia="宋体" w:cs="宋体"/>
          <w:kern w:val="0"/>
          <w:szCs w:val="28"/>
          <w:lang w:eastAsia="zh-CN"/>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abstractNum w:abstractNumId="1">
    <w:nsid w:val="56795DC2"/>
    <w:multiLevelType w:val="singleLevel"/>
    <w:tmpl w:val="56795DC2"/>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0D7597"/>
    <w:rsid w:val="2BCD1117"/>
    <w:rsid w:val="2E324646"/>
    <w:rsid w:val="4C950E69"/>
    <w:rsid w:val="70E95D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2021-12-09T06:08:11Z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80D460DCCC864E4784BD13231C1224B8</vt:lpwstr>
  </property>
</Properties>
</file>