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50" w:lineRule="exact"/>
        <w:jc w:val="center"/>
        <w:rPr>
          <w:rFonts w:ascii="宋体" w:hAnsi="宋体" w:cs="AdobeSongStd-Light"/>
          <w:kern w:val="0"/>
          <w:sz w:val="24"/>
        </w:rPr>
      </w:pPr>
      <w:bookmarkStart w:id="0" w:name="_GoBack"/>
      <w:bookmarkEnd w:id="0"/>
      <w:r>
        <w:rPr>
          <w:rFonts w:ascii="宋体" w:hAnsi="宋体" w:cs="AdobeSongStd-Light"/>
          <w:kern w:val="0"/>
          <w:sz w:val="24"/>
        </w:rPr>
        <w:t xml:space="preserve">6.7 </w:t>
      </w:r>
      <w:r>
        <w:rPr>
          <w:rFonts w:hint="eastAsia" w:ascii="宋体" w:hAnsi="宋体" w:cs="AdobeSongStd-Light"/>
          <w:kern w:val="0"/>
          <w:sz w:val="24"/>
        </w:rPr>
        <w:t>质量、环境和职业健康安全体系变更控制程序（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DFRX</w:t>
      </w:r>
      <w:r>
        <w:rPr>
          <w:rFonts w:ascii="宋体" w:hAnsi="宋体" w:cs="AdobeSongStd-Light"/>
          <w:kern w:val="0"/>
          <w:sz w:val="24"/>
        </w:rPr>
        <w:t>/CX-04</w:t>
      </w:r>
      <w:r>
        <w:rPr>
          <w:rFonts w:hint="eastAsia" w:ascii="宋体" w:hAnsi="宋体" w:cs="AdobeSongStd-Light"/>
          <w:kern w:val="0"/>
          <w:sz w:val="24"/>
        </w:rPr>
        <w:t>）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1  目的</w:t>
      </w:r>
    </w:p>
    <w:p>
      <w:pPr>
        <w:autoSpaceDE w:val="0"/>
        <w:autoSpaceDN w:val="0"/>
        <w:adjustRightInd w:val="0"/>
        <w:spacing w:line="450" w:lineRule="exact"/>
        <w:ind w:firstLine="480" w:firstLineChars="200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为加强对管理体系的变更管理以控制变更过程带来的风险，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避免因变更管理失控引发的风险事故等风险。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2  范围</w:t>
      </w:r>
    </w:p>
    <w:p>
      <w:pPr>
        <w:autoSpaceDE w:val="0"/>
        <w:autoSpaceDN w:val="0"/>
        <w:adjustRightInd w:val="0"/>
        <w:spacing w:line="450" w:lineRule="exact"/>
        <w:ind w:firstLine="480" w:firstLineChars="200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适用于对体系范围内所涉及的变更管理与控制。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3  职责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3.1 </w:t>
      </w:r>
      <w:r>
        <w:rPr>
          <w:rFonts w:hint="eastAsia" w:ascii="宋体" w:hAnsi="宋体" w:cs="AdobeSongStd-Light"/>
          <w:kern w:val="0"/>
          <w:sz w:val="24"/>
        </w:rPr>
        <w:t>经营部负责顾客要求变更的信息传递和组织合同变更的评审；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3.2 </w:t>
      </w:r>
      <w:r>
        <w:rPr>
          <w:rFonts w:hint="eastAsia" w:ascii="宋体" w:hAnsi="宋体" w:cs="AdobeSongStd-Light"/>
          <w:kern w:val="0"/>
          <w:sz w:val="24"/>
        </w:rPr>
        <w:t>综合经营部负责对工程造价咨询、招投标代理服务及项目管理的规划、服务细则的变更管理工作；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3.3 </w:t>
      </w:r>
      <w:r>
        <w:rPr>
          <w:rFonts w:hint="eastAsia" w:ascii="宋体" w:hAnsi="宋体" w:cs="AdobeSongStd-Light"/>
          <w:kern w:val="0"/>
          <w:sz w:val="24"/>
        </w:rPr>
        <w:t>管理者代表负责组织管理体系变更的更新工作；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3.4 </w:t>
      </w:r>
      <w:r>
        <w:rPr>
          <w:rFonts w:hint="eastAsia" w:ascii="宋体" w:hAnsi="宋体" w:cs="AdobeSongStd-Light"/>
          <w:kern w:val="0"/>
          <w:sz w:val="24"/>
        </w:rPr>
        <w:t>公司总经理和相关领导负责对变更的审批工作。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4  工作程序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 </w:t>
      </w:r>
      <w:r>
        <w:rPr>
          <w:rFonts w:hint="eastAsia" w:ascii="宋体" w:hAnsi="宋体" w:cs="AdobeSongStd-Light"/>
          <w:kern w:val="0"/>
          <w:sz w:val="24"/>
        </w:rPr>
        <w:t>变更类型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4.1.1 </w:t>
      </w:r>
      <w:r>
        <w:rPr>
          <w:rFonts w:hint="eastAsia" w:ascii="宋体" w:hAnsi="宋体" w:cs="AdobeSongStd-Light"/>
          <w:kern w:val="0"/>
          <w:sz w:val="24"/>
        </w:rPr>
        <w:t>当国家的质量、环境或安全的法律、法规、规程、标准发生废止、修订或新颁布时以及顾客要求、服务发生变化时；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4.1.2 </w:t>
      </w:r>
      <w:r>
        <w:rPr>
          <w:rFonts w:hint="eastAsia" w:ascii="宋体" w:hAnsi="宋体" w:cs="AdobeSongStd-Light"/>
          <w:kern w:val="0"/>
          <w:sz w:val="24"/>
        </w:rPr>
        <w:t>当企业归属、体制、规模发生重大变化时；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4.1.3 </w:t>
      </w:r>
      <w:r>
        <w:rPr>
          <w:rFonts w:hint="eastAsia" w:ascii="宋体" w:hAnsi="宋体" w:cs="AdobeSongStd-Light"/>
          <w:kern w:val="0"/>
          <w:sz w:val="24"/>
        </w:rPr>
        <w:t>当服务项目增加等；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4.1.4 </w:t>
      </w:r>
      <w:r>
        <w:rPr>
          <w:rFonts w:hint="eastAsia" w:ascii="宋体" w:hAnsi="宋体" w:cs="AdobeSongStd-Light"/>
          <w:kern w:val="0"/>
          <w:sz w:val="24"/>
        </w:rPr>
        <w:t>当技术、方法和设备发生变更时；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4.1.5 </w:t>
      </w:r>
      <w:r>
        <w:rPr>
          <w:rFonts w:hint="eastAsia" w:ascii="宋体" w:hAnsi="宋体" w:cs="AdobeSongStd-Light"/>
          <w:kern w:val="0"/>
          <w:sz w:val="24"/>
        </w:rPr>
        <w:t>当上级的质量、环境和安全的监督部门提出相关整改意见时；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4.1.6 </w:t>
      </w:r>
      <w:r>
        <w:rPr>
          <w:rFonts w:hint="eastAsia" w:ascii="宋体" w:hAnsi="宋体" w:cs="AdobeSongStd-Light"/>
          <w:kern w:val="0"/>
          <w:sz w:val="24"/>
        </w:rPr>
        <w:t>当质量、环境和安全检查、风险评价过程中发现涉及到规章制度层面的问题时；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4.1.7 </w:t>
      </w:r>
      <w:r>
        <w:rPr>
          <w:rFonts w:hint="eastAsia" w:ascii="宋体" w:hAnsi="宋体" w:cs="AdobeSongStd-Light"/>
          <w:kern w:val="0"/>
          <w:sz w:val="24"/>
        </w:rPr>
        <w:t>当分析质量、环境和职业健康安全的重大事故和重复事故原因，发现制度性因素时；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4.1.8 </w:t>
      </w:r>
      <w:r>
        <w:rPr>
          <w:rFonts w:hint="eastAsia" w:ascii="宋体" w:hAnsi="宋体" w:cs="AdobeSongStd-Light"/>
          <w:kern w:val="0"/>
          <w:sz w:val="24"/>
        </w:rPr>
        <w:t>其他相关事项。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 </w:t>
      </w:r>
      <w:r>
        <w:rPr>
          <w:rFonts w:hint="eastAsia" w:ascii="宋体" w:hAnsi="宋体" w:cs="AdobeSongStd-Light"/>
          <w:kern w:val="0"/>
          <w:sz w:val="24"/>
        </w:rPr>
        <w:t>变更的管理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4.2.1 </w:t>
      </w:r>
      <w:r>
        <w:rPr>
          <w:rFonts w:hint="eastAsia" w:ascii="宋体" w:hAnsi="宋体" w:cs="AdobeSongStd-Light"/>
          <w:kern w:val="0"/>
          <w:sz w:val="24"/>
        </w:rPr>
        <w:t>公司领导和各部门应对质量、环境和职业健康安全管理体系的变更进行策划和系统地实施，应重点考虑：</w:t>
      </w:r>
    </w:p>
    <w:p>
      <w:pPr>
        <w:autoSpaceDE w:val="0"/>
        <w:autoSpaceDN w:val="0"/>
        <w:adjustRightInd w:val="0"/>
        <w:spacing w:line="450" w:lineRule="exact"/>
        <w:ind w:firstLine="240" w:firstLineChars="100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a</w:t>
      </w:r>
      <w:r>
        <w:rPr>
          <w:rFonts w:hint="eastAsia" w:ascii="宋体" w:hAnsi="宋体" w:cs="AdobeSongStd-Light"/>
          <w:kern w:val="0"/>
          <w:sz w:val="24"/>
        </w:rPr>
        <w:t>）体系变更的目的和其潜在的风险和机遇；</w:t>
      </w:r>
    </w:p>
    <w:p>
      <w:pPr>
        <w:autoSpaceDE w:val="0"/>
        <w:autoSpaceDN w:val="0"/>
        <w:adjustRightInd w:val="0"/>
        <w:spacing w:line="450" w:lineRule="exact"/>
        <w:ind w:firstLine="240" w:firstLineChars="100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b</w:t>
      </w:r>
      <w:r>
        <w:rPr>
          <w:rFonts w:hint="eastAsia" w:ascii="宋体" w:hAnsi="宋体" w:cs="AdobeSongStd-Light"/>
          <w:kern w:val="0"/>
          <w:sz w:val="24"/>
        </w:rPr>
        <w:t>）质量、环境和职业健康安全管理体系的完整性；</w:t>
      </w:r>
    </w:p>
    <w:p>
      <w:pPr>
        <w:autoSpaceDE w:val="0"/>
        <w:autoSpaceDN w:val="0"/>
        <w:adjustRightInd w:val="0"/>
        <w:spacing w:line="450" w:lineRule="exact"/>
        <w:ind w:firstLine="240" w:firstLineChars="100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c</w:t>
      </w:r>
      <w:r>
        <w:rPr>
          <w:rFonts w:hint="eastAsia" w:ascii="宋体" w:hAnsi="宋体" w:cs="AdobeSongStd-Light"/>
          <w:kern w:val="0"/>
          <w:sz w:val="24"/>
        </w:rPr>
        <w:t>）所需的资源、过程和经济技术的可行性；</w:t>
      </w:r>
    </w:p>
    <w:p>
      <w:pPr>
        <w:autoSpaceDE w:val="0"/>
        <w:autoSpaceDN w:val="0"/>
        <w:adjustRightInd w:val="0"/>
        <w:spacing w:line="450" w:lineRule="exact"/>
        <w:ind w:firstLine="240" w:firstLineChars="100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d</w:t>
      </w:r>
      <w:r>
        <w:rPr>
          <w:rFonts w:hint="eastAsia" w:ascii="宋体" w:hAnsi="宋体" w:cs="AdobeSongStd-Light"/>
          <w:kern w:val="0"/>
          <w:sz w:val="24"/>
        </w:rPr>
        <w:t>）公司的岗位、职责和权限的分配或再分配。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4.2.1 </w:t>
      </w:r>
      <w:r>
        <w:rPr>
          <w:rFonts w:hint="eastAsia" w:ascii="宋体" w:hAnsi="宋体" w:cs="AdobeSongStd-Light"/>
          <w:kern w:val="0"/>
          <w:sz w:val="24"/>
        </w:rPr>
        <w:t>当有变更发生时，由负责变更的部门按要求填写《变更申请表》，并派专人负责管理，由变更的提出部门组织进行变更过程产生的风险进行分析和控制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4.2.2 </w:t>
      </w:r>
      <w:r>
        <w:rPr>
          <w:rFonts w:hint="eastAsia" w:ascii="宋体" w:hAnsi="宋体" w:cs="AdobeSongStd-Light"/>
          <w:kern w:val="0"/>
          <w:sz w:val="24"/>
        </w:rPr>
        <w:t>变更审批，《变更申请表》应上报主管领导审批；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4.2.3 </w:t>
      </w:r>
      <w:r>
        <w:rPr>
          <w:rFonts w:hint="eastAsia" w:ascii="宋体" w:hAnsi="宋体" w:cs="AdobeSongStd-Light"/>
          <w:kern w:val="0"/>
          <w:sz w:val="24"/>
        </w:rPr>
        <w:t>因变更而引发的规章制度和操作规程的更改时，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由申请变更的部门组织相关管理人员、技术和操作人员进行评审和修订；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4.2.4 </w:t>
      </w:r>
      <w:r>
        <w:rPr>
          <w:rFonts w:hint="eastAsia" w:ascii="宋体" w:hAnsi="宋体" w:cs="AdobeSongStd-Light"/>
          <w:kern w:val="0"/>
          <w:sz w:val="24"/>
        </w:rPr>
        <w:t>综合经营部负责组织造价部、招标部、项目管理部以及相关专业技术人员对变更项目进行必要性、可行性分析及风险评估，报主管领导审批。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4.2.5 </w:t>
      </w:r>
      <w:r>
        <w:rPr>
          <w:rFonts w:hint="eastAsia" w:ascii="宋体" w:hAnsi="宋体" w:cs="AdobeSongStd-Light"/>
          <w:kern w:val="0"/>
          <w:sz w:val="24"/>
        </w:rPr>
        <w:t>变更实施，变更批准后，由责任部门负责实施。不经过审查和批准，任何临时性的变更都不得超过原批准范围和期限；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4.2.6 </w:t>
      </w:r>
      <w:r>
        <w:rPr>
          <w:rFonts w:hint="eastAsia" w:ascii="宋体" w:hAnsi="宋体" w:cs="AdobeSongStd-Light"/>
          <w:kern w:val="0"/>
          <w:sz w:val="24"/>
        </w:rPr>
        <w:t>变更验收，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变更实施结束后，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变更主管领导应对变更的实施情况进行验收，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形成结论，验收内容包括项目的完整性、适用性、有效性、安全可靠性及对环境的影响。并及时将变更结果通知相关部门和有关人员。必要时应组织针对性的培训。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4.3 </w:t>
      </w:r>
      <w:r>
        <w:rPr>
          <w:rFonts w:hint="eastAsia" w:ascii="宋体" w:hAnsi="宋体" w:cs="AdobeSongStd-Light"/>
          <w:kern w:val="0"/>
          <w:sz w:val="24"/>
        </w:rPr>
        <w:t>管理体系文件的变更按《形成文件和信息控制程序》的要求执行。对变更的申请、审批文件，申请部门和审批部门都应该妥善保存，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综合经营部应保证使用最新有效版本的规章制度和操作规程。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4.4 </w:t>
      </w:r>
      <w:r>
        <w:rPr>
          <w:rFonts w:hint="eastAsia" w:ascii="宋体" w:hAnsi="宋体" w:cs="AdobeSongStd-Light"/>
          <w:kern w:val="0"/>
          <w:sz w:val="24"/>
        </w:rPr>
        <w:t>变更的控制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4.4.1 </w:t>
      </w:r>
      <w:r>
        <w:rPr>
          <w:rFonts w:hint="eastAsia" w:ascii="宋体" w:hAnsi="宋体" w:cs="AdobeSongStd-Light"/>
          <w:kern w:val="0"/>
          <w:sz w:val="24"/>
        </w:rPr>
        <w:t>公司领导和有关部门应严格变更过程的审批手续，以控制变更过程带来的风险，避免因变更管理失控引发的事故。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4.4.2 </w:t>
      </w:r>
      <w:r>
        <w:rPr>
          <w:rFonts w:hint="eastAsia" w:ascii="宋体" w:hAnsi="宋体" w:cs="AdobeSongStd-Light"/>
          <w:kern w:val="0"/>
          <w:sz w:val="24"/>
        </w:rPr>
        <w:t>综合经营部负责组织有关部门应以风险评价为基础，识别和确定潜在的事故、事件或紧急情况，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研究可能采取的应对控制措施，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以预防和减少可能随之引起的人员伤害、财产损失及环境影响。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hint="eastAsia"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5  相关文件</w:t>
      </w:r>
      <w:r>
        <w:rPr>
          <w:rFonts w:ascii="宋体" w:hAnsi="宋体" w:cs="AdobeSongStd-Light"/>
          <w:kern w:val="0"/>
          <w:sz w:val="24"/>
        </w:rPr>
        <w:t xml:space="preserve"> 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5.1 </w:t>
      </w:r>
      <w:r>
        <w:rPr>
          <w:rFonts w:hint="eastAsia" w:ascii="宋体" w:hAnsi="宋体" w:cs="AdobeSongStd-Light"/>
          <w:kern w:val="0"/>
          <w:sz w:val="24"/>
        </w:rPr>
        <w:t>《形成文件和信息控制程序》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hint="eastAsia"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6  相关记录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hint="eastAsia"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6.1《变更申请表》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hint="eastAsia"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6.2《环境因素识别／评价表》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hint="eastAsia"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6.3《危险源辨识</w:t>
      </w:r>
      <w:r>
        <w:rPr>
          <w:rFonts w:ascii="宋体" w:hAnsi="宋体" w:cs="AdobeSongStd-Light"/>
          <w:kern w:val="0"/>
          <w:sz w:val="24"/>
        </w:rPr>
        <w:t xml:space="preserve">/ </w:t>
      </w:r>
      <w:r>
        <w:rPr>
          <w:rFonts w:hint="eastAsia" w:ascii="宋体" w:hAnsi="宋体" w:cs="AdobeSongStd-Light"/>
          <w:kern w:val="0"/>
          <w:sz w:val="24"/>
        </w:rPr>
        <w:t>风险评价表》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6.4《文件更改审批表》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4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2018-05-23T02:27:19Z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