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exact"/>
        <w:jc w:val="center"/>
        <w:rPr>
          <w:rFonts w:ascii="宋体" w:hAnsi="宋体" w:cs="AdobeSongStd-Light"/>
          <w:kern w:val="0"/>
          <w:sz w:val="24"/>
        </w:rPr>
      </w:pPr>
      <w:bookmarkStart w:id="0" w:name="_GoBack"/>
      <w:bookmarkEnd w:id="0"/>
      <w:r>
        <w:rPr>
          <w:rFonts w:ascii="宋体" w:hAnsi="宋体" w:cs="Arial"/>
          <w:kern w:val="0"/>
          <w:sz w:val="24"/>
        </w:rPr>
        <w:t xml:space="preserve">6.4 </w:t>
      </w:r>
      <w:r>
        <w:rPr>
          <w:rFonts w:hint="eastAsia" w:ascii="宋体" w:hAnsi="宋体" w:cs="AdobeSongStd-Light"/>
          <w:kern w:val="0"/>
          <w:sz w:val="24"/>
        </w:rPr>
        <w:t>合规性义务的识别、获取和更新程序（</w:t>
      </w:r>
      <w:r>
        <w:rPr>
          <w:rFonts w:ascii="宋体" w:hAnsi="宋体" w:cs="AdobeSongStd-Light"/>
          <w:kern w:val="0"/>
          <w:sz w:val="24"/>
        </w:rPr>
        <w:t xml:space="preserve"> </w:t>
      </w:r>
      <w:r>
        <w:rPr>
          <w:rFonts w:hint="eastAsia" w:ascii="宋体" w:hAnsi="宋体" w:cs="Arial"/>
          <w:kern w:val="0"/>
          <w:sz w:val="24"/>
        </w:rPr>
        <w:t>DFRX</w:t>
      </w:r>
      <w:r>
        <w:rPr>
          <w:rFonts w:ascii="宋体" w:hAnsi="宋体" w:cs="Arial"/>
          <w:kern w:val="0"/>
          <w:sz w:val="24"/>
        </w:rPr>
        <w:t>/CX-03</w:t>
      </w:r>
      <w:r>
        <w:rPr>
          <w:rFonts w:hint="eastAsia" w:ascii="宋体" w:hAnsi="宋体" w:cs="AdobeSongStd-Light"/>
          <w:kern w:val="0"/>
          <w:sz w:val="24"/>
        </w:rPr>
        <w:t>）</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1  目的</w:t>
      </w:r>
    </w:p>
    <w:p>
      <w:pPr>
        <w:autoSpaceDE w:val="0"/>
        <w:autoSpaceDN w:val="0"/>
        <w:adjustRightInd w:val="0"/>
        <w:spacing w:line="460" w:lineRule="exact"/>
        <w:ind w:firstLine="480" w:firstLineChars="200"/>
        <w:jc w:val="left"/>
        <w:rPr>
          <w:rFonts w:ascii="宋体" w:hAnsi="宋体" w:cs="AdobeSongStd-Light"/>
          <w:kern w:val="0"/>
          <w:sz w:val="24"/>
        </w:rPr>
      </w:pPr>
      <w:r>
        <w:rPr>
          <w:rFonts w:hint="eastAsia" w:ascii="宋体" w:hAnsi="宋体" w:cs="AdobeSongStd-Light"/>
          <w:kern w:val="0"/>
          <w:sz w:val="24"/>
        </w:rPr>
        <w:t>建立获取法律法规及其他要求的渠道，</w:t>
      </w:r>
      <w:r>
        <w:rPr>
          <w:rFonts w:ascii="宋体" w:hAnsi="宋体" w:cs="AdobeSongStd-Light"/>
          <w:kern w:val="0"/>
          <w:sz w:val="24"/>
        </w:rPr>
        <w:t xml:space="preserve"> </w:t>
      </w:r>
      <w:r>
        <w:rPr>
          <w:rFonts w:hint="eastAsia" w:ascii="宋体" w:hAnsi="宋体" w:cs="AdobeSongStd-Light"/>
          <w:kern w:val="0"/>
          <w:sz w:val="24"/>
        </w:rPr>
        <w:t>以便及时获取、识别并更新我公司质量、环境和职业健康安全适用的法律、法规及其他要求。</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2  适用范围</w:t>
      </w:r>
    </w:p>
    <w:p>
      <w:pPr>
        <w:autoSpaceDE w:val="0"/>
        <w:autoSpaceDN w:val="0"/>
        <w:adjustRightInd w:val="0"/>
        <w:spacing w:line="460" w:lineRule="exact"/>
        <w:ind w:firstLine="480" w:firstLineChars="200"/>
        <w:jc w:val="left"/>
        <w:rPr>
          <w:rFonts w:ascii="宋体" w:hAnsi="宋体" w:cs="AdobeSongStd-Light"/>
          <w:kern w:val="0"/>
          <w:sz w:val="24"/>
        </w:rPr>
      </w:pPr>
      <w:r>
        <w:rPr>
          <w:rFonts w:hint="eastAsia" w:ascii="宋体" w:hAnsi="宋体" w:cs="AdobeSongStd-Light"/>
          <w:kern w:val="0"/>
          <w:sz w:val="24"/>
        </w:rPr>
        <w:t>本程序适用于我公司获取、更新、质量、环境和职业健康安全、法律、法规和其他要求以及适用性确认。</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3  职责</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3.1 </w:t>
      </w:r>
      <w:r>
        <w:rPr>
          <w:rFonts w:hint="eastAsia" w:ascii="宋体" w:hAnsi="宋体" w:cs="AdobeSongStd-Light"/>
          <w:kern w:val="0"/>
          <w:sz w:val="24"/>
        </w:rPr>
        <w:t>综合经营部应根据公司的和危险源控制要求负责组织各部门进行适用的法律、法规、标准及相关要求的识别、获取和更新，并填写我公司《适用的法律法规与其他要求清单》，将信息传递到各相关部门，并确保实施。</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3.2 </w:t>
      </w:r>
      <w:r>
        <w:rPr>
          <w:rFonts w:hint="eastAsia" w:ascii="宋体" w:hAnsi="宋体" w:cs="AdobeSongStd-Light"/>
          <w:kern w:val="0"/>
          <w:sz w:val="24"/>
        </w:rPr>
        <w:t>综合经营部负责法律、法规、标准和相关要求的发放及归档管理。</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3.3 </w:t>
      </w:r>
      <w:r>
        <w:rPr>
          <w:rFonts w:hint="eastAsia" w:ascii="宋体" w:hAnsi="宋体" w:cs="AdobeSongStd-Light"/>
          <w:kern w:val="0"/>
          <w:sz w:val="24"/>
        </w:rPr>
        <w:t>各部门负责本部门法律、法规的识别及收集，制定相应清单并经本部门领导审批，将相关信息及时与综合经营部沟通。</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3.4 </w:t>
      </w:r>
      <w:r>
        <w:rPr>
          <w:rFonts w:hint="eastAsia" w:ascii="宋体" w:hAnsi="宋体" w:cs="AdobeSongStd-Light"/>
          <w:kern w:val="0"/>
          <w:sz w:val="24"/>
        </w:rPr>
        <w:t>管理者代表负责法律、法规适用性审批。</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4  工作程序</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 </w:t>
      </w:r>
      <w:r>
        <w:rPr>
          <w:rFonts w:hint="eastAsia" w:ascii="宋体" w:hAnsi="宋体" w:cs="AdobeSongStd-Light"/>
          <w:kern w:val="0"/>
          <w:sz w:val="24"/>
        </w:rPr>
        <w:t>获取范围</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4.1.1 </w:t>
      </w:r>
      <w:r>
        <w:rPr>
          <w:rFonts w:hint="eastAsia" w:ascii="宋体" w:hAnsi="宋体" w:cs="AdobeSongStd-Light"/>
          <w:kern w:val="0"/>
          <w:sz w:val="24"/>
        </w:rPr>
        <w:t>有关的国际公约；</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4.1.2 </w:t>
      </w:r>
      <w:r>
        <w:rPr>
          <w:rFonts w:hint="eastAsia" w:ascii="宋体" w:hAnsi="宋体" w:cs="AdobeSongStd-Light"/>
          <w:kern w:val="0"/>
          <w:sz w:val="24"/>
        </w:rPr>
        <w:t>国家法律、法规、标准及行政规章制度；</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4.1.3 </w:t>
      </w:r>
      <w:r>
        <w:rPr>
          <w:rFonts w:hint="eastAsia" w:ascii="宋体" w:hAnsi="宋体" w:cs="AdobeSongStd-Light"/>
          <w:kern w:val="0"/>
          <w:sz w:val="24"/>
        </w:rPr>
        <w:t>地方法律、法规、标准及行政规章制度；</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4.1.4 </w:t>
      </w:r>
      <w:r>
        <w:rPr>
          <w:rFonts w:hint="eastAsia" w:ascii="宋体" w:hAnsi="宋体" w:cs="AdobeSongStd-Light"/>
          <w:kern w:val="0"/>
          <w:sz w:val="24"/>
        </w:rPr>
        <w:t>行业规定及标准；</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4.1.5 </w:t>
      </w:r>
      <w:r>
        <w:rPr>
          <w:rFonts w:hint="eastAsia" w:ascii="宋体" w:hAnsi="宋体" w:cs="AdobeSongStd-Light"/>
          <w:kern w:val="0"/>
          <w:sz w:val="24"/>
        </w:rPr>
        <w:t>上级机构的规定或指令；</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4.1.6 </w:t>
      </w:r>
      <w:r>
        <w:rPr>
          <w:rFonts w:hint="eastAsia" w:ascii="宋体" w:hAnsi="宋体" w:cs="AdobeSongStd-Light"/>
          <w:kern w:val="0"/>
          <w:sz w:val="24"/>
        </w:rPr>
        <w:t>我公司内部规章制度、管理办法。</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4.2 </w:t>
      </w:r>
      <w:r>
        <w:rPr>
          <w:rFonts w:hint="eastAsia" w:ascii="宋体" w:hAnsi="宋体" w:cs="AdobeSongStd-Light"/>
          <w:kern w:val="0"/>
          <w:sz w:val="24"/>
        </w:rPr>
        <w:t>法规和其他要求的设备、获取</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4.2.1 </w:t>
      </w:r>
      <w:r>
        <w:rPr>
          <w:rFonts w:hint="eastAsia" w:ascii="宋体" w:hAnsi="宋体" w:cs="AdobeSongStd-Light"/>
          <w:kern w:val="0"/>
          <w:sz w:val="24"/>
        </w:rPr>
        <w:t>综合经营部通过国家、地方及行业主管部门</w:t>
      </w:r>
      <w:r>
        <w:rPr>
          <w:rFonts w:ascii="宋体" w:hAnsi="宋体" w:cs="AdobeSongStd-Light"/>
          <w:kern w:val="0"/>
          <w:sz w:val="24"/>
        </w:rPr>
        <w:t xml:space="preserve">( </w:t>
      </w:r>
      <w:r>
        <w:rPr>
          <w:rFonts w:hint="eastAsia" w:ascii="宋体" w:hAnsi="宋体" w:cs="AdobeSongStd-Light"/>
          <w:kern w:val="0"/>
          <w:sz w:val="24"/>
        </w:rPr>
        <w:t>如：当地政府、环保、安全、行业协会、消防等部门）、刊物、网络及其他途径获取相关法律法规与其他要求的文件。</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4.2.2 </w:t>
      </w:r>
      <w:r>
        <w:rPr>
          <w:rFonts w:hint="eastAsia" w:ascii="宋体" w:hAnsi="宋体" w:cs="AdobeSongStd-Light"/>
          <w:kern w:val="0"/>
          <w:sz w:val="24"/>
        </w:rPr>
        <w:t>综合经营部通过和顾客、供方、社区的交流等方式获得相关方的环境、安全要求。</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4.3 </w:t>
      </w:r>
      <w:r>
        <w:rPr>
          <w:rFonts w:hint="eastAsia" w:ascii="宋体" w:hAnsi="宋体" w:cs="AdobeSongStd-Light"/>
          <w:kern w:val="0"/>
          <w:sz w:val="24"/>
        </w:rPr>
        <w:t>法律法规和其他要求适用性的识别、确认</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4.3.1 </w:t>
      </w:r>
      <w:r>
        <w:rPr>
          <w:rFonts w:hint="eastAsia" w:ascii="宋体" w:hAnsi="宋体" w:cs="AdobeSongStd-Light"/>
          <w:kern w:val="0"/>
          <w:sz w:val="24"/>
        </w:rPr>
        <w:t>综合经营部将各部门收集的法律、法规和其他要求，依据环境因素、危险源的识别和风险评价情况，识别和确认出我公司应遵照和执行的法律、法规和其他要求编制我公司的《适用法律、法规和其他要求清单》；</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4.3.2 </w:t>
      </w:r>
      <w:r>
        <w:rPr>
          <w:rFonts w:hint="eastAsia" w:ascii="宋体" w:hAnsi="宋体" w:cs="AdobeSongStd-Light"/>
          <w:kern w:val="0"/>
          <w:sz w:val="24"/>
        </w:rPr>
        <w:t>综合经营部组织各部门确定法律、法规和其他要求的其条款和内容，</w:t>
      </w:r>
      <w:r>
        <w:rPr>
          <w:rFonts w:ascii="宋体" w:hAnsi="宋体" w:cs="AdobeSongStd-Light"/>
          <w:kern w:val="0"/>
          <w:sz w:val="24"/>
        </w:rPr>
        <w:t xml:space="preserve"> </w:t>
      </w:r>
      <w:r>
        <w:rPr>
          <w:rFonts w:hint="eastAsia" w:ascii="宋体" w:hAnsi="宋体" w:cs="AdobeSongStd-Light"/>
          <w:kern w:val="0"/>
          <w:sz w:val="24"/>
        </w:rPr>
        <w:t>并在《适用法律、法规和其他要求清单》进行明确，</w:t>
      </w:r>
      <w:r>
        <w:rPr>
          <w:rFonts w:ascii="宋体" w:hAnsi="宋体" w:cs="AdobeSongStd-Light"/>
          <w:kern w:val="0"/>
          <w:sz w:val="24"/>
        </w:rPr>
        <w:t xml:space="preserve"> </w:t>
      </w:r>
      <w:r>
        <w:rPr>
          <w:rFonts w:hint="eastAsia" w:ascii="宋体" w:hAnsi="宋体" w:cs="AdobeSongStd-Light"/>
          <w:kern w:val="0"/>
          <w:sz w:val="24"/>
        </w:rPr>
        <w:t>经管理者代表审批后发送各相关部门，</w:t>
      </w:r>
      <w:r>
        <w:rPr>
          <w:rFonts w:ascii="宋体" w:hAnsi="宋体" w:cs="AdobeSongStd-Light"/>
          <w:kern w:val="0"/>
          <w:sz w:val="24"/>
        </w:rPr>
        <w:t xml:space="preserve"> </w:t>
      </w:r>
      <w:r>
        <w:rPr>
          <w:rFonts w:hint="eastAsia" w:ascii="宋体" w:hAnsi="宋体" w:cs="AdobeSongStd-Light"/>
          <w:kern w:val="0"/>
          <w:sz w:val="24"/>
        </w:rPr>
        <w:t>并确保将文件发放至相关部门。</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4.4 </w:t>
      </w:r>
      <w:r>
        <w:rPr>
          <w:rFonts w:hint="eastAsia" w:ascii="宋体" w:hAnsi="宋体" w:cs="AdobeSongStd-Light"/>
          <w:kern w:val="0"/>
          <w:sz w:val="24"/>
        </w:rPr>
        <w:t>各相关部门制定本部门相应的适用法规和其他要求清单，</w:t>
      </w:r>
      <w:r>
        <w:rPr>
          <w:rFonts w:ascii="宋体" w:hAnsi="宋体" w:cs="AdobeSongStd-Light"/>
          <w:kern w:val="0"/>
          <w:sz w:val="24"/>
        </w:rPr>
        <w:t xml:space="preserve"> </w:t>
      </w:r>
      <w:r>
        <w:rPr>
          <w:rFonts w:hint="eastAsia" w:ascii="宋体" w:hAnsi="宋体" w:cs="AdobeSongStd-Light"/>
          <w:kern w:val="0"/>
          <w:sz w:val="24"/>
        </w:rPr>
        <w:t>结合程序文件和作业指导书组织学习相关内容，确保符合要求。</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4.5 </w:t>
      </w:r>
      <w:r>
        <w:rPr>
          <w:rFonts w:hint="eastAsia" w:ascii="宋体" w:hAnsi="宋体" w:cs="AdobeSongStd-Light"/>
          <w:kern w:val="0"/>
          <w:sz w:val="24"/>
        </w:rPr>
        <w:t>综合经营部将我公司的相关文件、资料每季度整理一次归档。</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4.6 </w:t>
      </w:r>
      <w:r>
        <w:rPr>
          <w:rFonts w:hint="eastAsia" w:ascii="宋体" w:hAnsi="宋体" w:cs="AdobeSongStd-Light"/>
          <w:kern w:val="0"/>
          <w:sz w:val="24"/>
        </w:rPr>
        <w:t>文件的发放、保存按《形成文件和信息控制程序》执行。</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4.7 </w:t>
      </w:r>
      <w:r>
        <w:rPr>
          <w:rFonts w:hint="eastAsia" w:ascii="宋体" w:hAnsi="宋体" w:cs="AdobeSongStd-Light"/>
          <w:kern w:val="0"/>
          <w:sz w:val="24"/>
        </w:rPr>
        <w:t>若有法律、法规与其他要求更新或废止时，</w:t>
      </w:r>
      <w:r>
        <w:rPr>
          <w:rFonts w:ascii="宋体" w:hAnsi="宋体" w:cs="AdobeSongStd-Light"/>
          <w:kern w:val="0"/>
          <w:sz w:val="24"/>
        </w:rPr>
        <w:t xml:space="preserve"> </w:t>
      </w:r>
      <w:r>
        <w:rPr>
          <w:rFonts w:hint="eastAsia" w:ascii="宋体" w:hAnsi="宋体" w:cs="AdobeSongStd-Light"/>
          <w:kern w:val="0"/>
          <w:sz w:val="24"/>
        </w:rPr>
        <w:t>对更新的法律、法规与其他要求重新进行识别并审批其适用性。</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4.8 </w:t>
      </w:r>
      <w:r>
        <w:rPr>
          <w:rFonts w:hint="eastAsia" w:ascii="宋体" w:hAnsi="宋体" w:cs="AdobeSongStd-Light"/>
          <w:kern w:val="0"/>
          <w:sz w:val="24"/>
        </w:rPr>
        <w:t>法律、法规属强制性要求，尤其对职业健康安全、环境保护、废弃物处理等应用方面的法律、法规要确保适时、适用、最新。</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4.9 </w:t>
      </w:r>
      <w:r>
        <w:rPr>
          <w:rFonts w:hint="eastAsia" w:ascii="宋体" w:hAnsi="宋体" w:cs="AdobeSongStd-Light"/>
          <w:kern w:val="0"/>
          <w:sz w:val="24"/>
        </w:rPr>
        <w:t>所确认的法律、法规和其它要求，应适用于公司职业健康安全、环境因素的控制，确保建立的职业健康安全、环境管理体系符合法律、法规和其它要求的满足。</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4.10 </w:t>
      </w:r>
      <w:r>
        <w:rPr>
          <w:rFonts w:hint="eastAsia" w:ascii="宋体" w:hAnsi="宋体" w:cs="AdobeSongStd-Light"/>
          <w:kern w:val="0"/>
          <w:sz w:val="24"/>
        </w:rPr>
        <w:t>涉及相关方要求的安全、环境、服务法律、法规、标准及其他要求要及时通报给相关方。</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4.11 </w:t>
      </w:r>
      <w:r>
        <w:rPr>
          <w:rFonts w:hint="eastAsia" w:ascii="宋体" w:hAnsi="宋体" w:cs="AdobeSongStd-Light"/>
          <w:kern w:val="0"/>
          <w:sz w:val="24"/>
        </w:rPr>
        <w:t>综合经营部每年要进行一次法律、法规、标准及其他要求的查询与获取，同时进行一次法律、法规、标准及其他要求的适用性确认工作。必要时修改《适用的法律法规与其他要求清单》，并下发公司各部门。</w:t>
      </w:r>
    </w:p>
    <w:p>
      <w:pPr>
        <w:autoSpaceDE w:val="0"/>
        <w:autoSpaceDN w:val="0"/>
        <w:adjustRightInd w:val="0"/>
        <w:spacing w:line="460" w:lineRule="exact"/>
        <w:jc w:val="left"/>
        <w:rPr>
          <w:rFonts w:ascii="宋体" w:hAnsi="宋体" w:cs="AdobeSongStd-Light"/>
          <w:kern w:val="0"/>
          <w:sz w:val="24"/>
        </w:rPr>
      </w:pPr>
      <w:r>
        <w:rPr>
          <w:rFonts w:ascii="宋体" w:hAnsi="宋体" w:cs="AdobeSongStd-Light"/>
          <w:kern w:val="0"/>
          <w:sz w:val="24"/>
        </w:rPr>
        <w:t xml:space="preserve">4.12 </w:t>
      </w:r>
      <w:r>
        <w:rPr>
          <w:rFonts w:hint="eastAsia" w:ascii="宋体" w:hAnsi="宋体" w:cs="AdobeSongStd-Light"/>
          <w:kern w:val="0"/>
          <w:sz w:val="24"/>
        </w:rPr>
        <w:t>综合经营部每年根据各部门的职业健康安全、环境目标、指标完成情况和职业健康安全、环境活动表现，组织评价公司的法律、法规及其他要求的合规性工作，执行《合规性控制程序》要求。</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5  相关文件</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5.1《形成文件和信息控制程序》</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5.2《合规性控制程序》</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6  记录</w:t>
      </w:r>
    </w:p>
    <w:p>
      <w:pPr>
        <w:autoSpaceDE w:val="0"/>
        <w:autoSpaceDN w:val="0"/>
        <w:adjustRightInd w:val="0"/>
        <w:spacing w:line="460" w:lineRule="exact"/>
        <w:jc w:val="left"/>
        <w:rPr>
          <w:rFonts w:ascii="宋体" w:hAnsi="宋体" w:cs="AdobeSongStd-Light"/>
          <w:kern w:val="0"/>
          <w:sz w:val="24"/>
        </w:rPr>
      </w:pPr>
      <w:r>
        <w:rPr>
          <w:rFonts w:hint="eastAsia" w:ascii="宋体" w:hAnsi="宋体" w:cs="AdobeSongStd-Light"/>
          <w:kern w:val="0"/>
          <w:sz w:val="24"/>
        </w:rPr>
        <w:t>6.1《适用的法律法规与其他要求清单》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SongStd-Light">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5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2018-05-22T07:37:59Z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