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749"/>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rPr>
                <w:rFonts w:hint="eastAsia" w:ascii="楷体" w:hAnsi="楷体" w:eastAsia="楷体"/>
                <w:sz w:val="24"/>
                <w:szCs w:val="24"/>
              </w:rPr>
            </w:pPr>
            <w:r>
              <w:rPr>
                <w:rFonts w:hint="eastAsia" w:ascii="楷体" w:hAnsi="楷体" w:eastAsia="楷体"/>
                <w:sz w:val="24"/>
                <w:szCs w:val="24"/>
              </w:rPr>
              <w:t>过程与活动、</w:t>
            </w:r>
          </w:p>
          <w:p>
            <w:pPr>
              <w:spacing w:line="360" w:lineRule="auto"/>
              <w:rPr>
                <w:rFonts w:hint="eastAsia" w:ascii="楷体" w:hAnsi="楷体" w:eastAsia="楷体"/>
                <w:sz w:val="24"/>
                <w:szCs w:val="24"/>
              </w:rPr>
            </w:pPr>
            <w:r>
              <w:rPr>
                <w:rFonts w:hint="eastAsia" w:ascii="楷体" w:hAnsi="楷体" w:eastAsia="楷体"/>
                <w:sz w:val="24"/>
                <w:szCs w:val="24"/>
              </w:rPr>
              <w:t>抽样计划</w:t>
            </w:r>
          </w:p>
        </w:tc>
        <w:tc>
          <w:tcPr>
            <w:tcW w:w="1067" w:type="dxa"/>
            <w:vMerge w:val="restart"/>
            <w:vAlign w:val="center"/>
          </w:tcPr>
          <w:p>
            <w:pPr>
              <w:spacing w:line="360" w:lineRule="auto"/>
              <w:rPr>
                <w:rFonts w:hint="eastAsia" w:ascii="楷体" w:hAnsi="楷体" w:eastAsia="楷体"/>
                <w:sz w:val="24"/>
                <w:szCs w:val="24"/>
              </w:rPr>
            </w:pPr>
            <w:r>
              <w:rPr>
                <w:rFonts w:hint="eastAsia" w:ascii="楷体" w:hAnsi="楷体" w:eastAsia="楷体"/>
                <w:sz w:val="24"/>
                <w:szCs w:val="24"/>
              </w:rPr>
              <w:t>涉及</w:t>
            </w:r>
          </w:p>
          <w:p>
            <w:pPr>
              <w:spacing w:line="360" w:lineRule="auto"/>
              <w:rPr>
                <w:rFonts w:hint="eastAsia" w:ascii="楷体" w:hAnsi="楷体" w:eastAsia="楷体"/>
                <w:sz w:val="24"/>
                <w:szCs w:val="24"/>
              </w:rPr>
            </w:pPr>
            <w:r>
              <w:rPr>
                <w:rFonts w:hint="eastAsia" w:ascii="楷体" w:hAnsi="楷体" w:eastAsia="楷体"/>
                <w:sz w:val="24"/>
                <w:szCs w:val="24"/>
              </w:rPr>
              <w:t>条款</w:t>
            </w:r>
          </w:p>
        </w:tc>
        <w:tc>
          <w:tcPr>
            <w:tcW w:w="10749" w:type="dxa"/>
            <w:vAlign w:val="center"/>
          </w:tcPr>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 xml:space="preserve">项目管理部现场      </w:t>
            </w:r>
            <w:r>
              <w:rPr>
                <w:rFonts w:hint="eastAsia" w:ascii="楷体" w:hAnsi="楷体" w:eastAsia="楷体"/>
                <w:sz w:val="24"/>
                <w:szCs w:val="24"/>
              </w:rPr>
              <w:t xml:space="preserve">      管领导：</w:t>
            </w:r>
            <w:r>
              <w:rPr>
                <w:rFonts w:hint="eastAsia" w:ascii="楷体" w:hAnsi="楷体" w:eastAsia="楷体"/>
                <w:sz w:val="24"/>
                <w:szCs w:val="24"/>
                <w:lang w:val="en-US" w:eastAsia="zh-CN"/>
              </w:rPr>
              <w:t>李响</w:t>
            </w:r>
            <w:r>
              <w:rPr>
                <w:rFonts w:hint="eastAsia"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 xml:space="preserve">   陪同人员：</w:t>
            </w:r>
            <w:r>
              <w:rPr>
                <w:rFonts w:hint="eastAsia" w:ascii="楷体" w:hAnsi="楷体" w:eastAsia="楷体"/>
                <w:sz w:val="24"/>
                <w:szCs w:val="24"/>
                <w:lang w:val="en-US" w:eastAsia="zh-CN"/>
              </w:rPr>
              <w:t>张汶滟</w:t>
            </w:r>
          </w:p>
        </w:tc>
        <w:tc>
          <w:tcPr>
            <w:tcW w:w="73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480" w:firstLineChars="200"/>
              <w:rPr>
                <w:rFonts w:hint="eastAsia" w:ascii="楷体" w:hAnsi="楷体" w:eastAsia="楷体"/>
                <w:sz w:val="24"/>
                <w:szCs w:val="24"/>
              </w:rPr>
            </w:pPr>
          </w:p>
        </w:tc>
        <w:tc>
          <w:tcPr>
            <w:tcW w:w="1067" w:type="dxa"/>
            <w:vMerge w:val="continue"/>
            <w:vAlign w:val="center"/>
          </w:tcPr>
          <w:p>
            <w:pPr>
              <w:spacing w:line="360" w:lineRule="auto"/>
              <w:ind w:firstLine="480" w:firstLineChars="200"/>
              <w:rPr>
                <w:rFonts w:hint="eastAsia" w:ascii="楷体" w:hAnsi="楷体" w:eastAsia="楷体"/>
                <w:sz w:val="24"/>
                <w:szCs w:val="24"/>
              </w:rPr>
            </w:pPr>
          </w:p>
        </w:tc>
        <w:tc>
          <w:tcPr>
            <w:tcW w:w="10749" w:type="dxa"/>
            <w:vAlign w:val="center"/>
          </w:tcPr>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强兴</w:t>
            </w:r>
            <w:r>
              <w:rPr>
                <w:rFonts w:hint="eastAsia" w:ascii="楷体" w:hAnsi="楷体" w:eastAsia="楷体"/>
                <w:sz w:val="24"/>
                <w:szCs w:val="24"/>
              </w:rPr>
              <w:t xml:space="preserve"> </w:t>
            </w:r>
            <w:r>
              <w:rPr>
                <w:rFonts w:hint="eastAsia" w:ascii="楷体" w:hAnsi="楷体" w:eastAsia="楷体"/>
                <w:sz w:val="24"/>
                <w:szCs w:val="24"/>
                <w:lang w:val="en-US" w:eastAsia="zh-CN"/>
              </w:rPr>
              <w:t>周文 陈琦（专家 实习）</w:t>
            </w:r>
            <w:r>
              <w:rPr>
                <w:rFonts w:hint="eastAsia" w:ascii="楷体" w:hAnsi="楷体" w:eastAsia="楷体"/>
                <w:sz w:val="24"/>
                <w:szCs w:val="24"/>
              </w:rPr>
              <w:t xml:space="preserve">         审核时间：</w:t>
            </w:r>
            <w:r>
              <w:rPr>
                <w:rFonts w:hint="eastAsia" w:ascii="楷体" w:hAnsi="楷体" w:eastAsia="楷体"/>
                <w:sz w:val="24"/>
                <w:szCs w:val="24"/>
                <w:lang w:eastAsia="zh-CN"/>
              </w:rPr>
              <w:t>2021.</w:t>
            </w:r>
            <w:r>
              <w:rPr>
                <w:rFonts w:hint="eastAsia" w:ascii="楷体" w:hAnsi="楷体" w:eastAsia="楷体"/>
                <w:sz w:val="24"/>
                <w:szCs w:val="24"/>
                <w:lang w:val="en-US" w:eastAsia="zh-CN"/>
              </w:rPr>
              <w:t>12.16</w:t>
            </w:r>
          </w:p>
        </w:tc>
        <w:tc>
          <w:tcPr>
            <w:tcW w:w="73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480" w:firstLineChars="200"/>
              <w:rPr>
                <w:rFonts w:hint="eastAsia" w:ascii="楷体" w:hAnsi="楷体" w:eastAsia="楷体"/>
                <w:sz w:val="24"/>
                <w:szCs w:val="24"/>
              </w:rPr>
            </w:pPr>
          </w:p>
        </w:tc>
        <w:tc>
          <w:tcPr>
            <w:tcW w:w="1067" w:type="dxa"/>
            <w:vMerge w:val="continue"/>
            <w:vAlign w:val="center"/>
          </w:tcPr>
          <w:p>
            <w:pPr>
              <w:spacing w:line="360" w:lineRule="auto"/>
              <w:ind w:firstLine="480" w:firstLineChars="200"/>
              <w:rPr>
                <w:rFonts w:hint="eastAsia" w:ascii="楷体" w:hAnsi="楷体" w:eastAsia="楷体"/>
                <w:sz w:val="24"/>
                <w:szCs w:val="24"/>
              </w:rPr>
            </w:pPr>
          </w:p>
        </w:tc>
        <w:tc>
          <w:tcPr>
            <w:tcW w:w="10749" w:type="dxa"/>
            <w:vAlign w:val="center"/>
          </w:tcPr>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rPr>
              <w:t>审核条款：</w:t>
            </w:r>
            <w:r>
              <w:rPr>
                <w:rFonts w:hint="eastAsia" w:ascii="楷体" w:hAnsi="楷体" w:eastAsia="楷体"/>
                <w:sz w:val="24"/>
                <w:szCs w:val="24"/>
                <w:lang w:val="en-US" w:eastAsia="zh-CN"/>
              </w:rPr>
              <w:t>Q:8.5.1/8.6/</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E:6.1.2/8.1/8.2</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O:6.1.2/8.1/8.2</w:t>
            </w:r>
            <w:r>
              <w:rPr>
                <w:rFonts w:hint="eastAsia" w:ascii="楷体" w:hAnsi="楷体" w:eastAsia="楷体"/>
                <w:sz w:val="24"/>
                <w:szCs w:val="24"/>
              </w:rPr>
              <w:t xml:space="preserve"> </w:t>
            </w:r>
          </w:p>
        </w:tc>
        <w:tc>
          <w:tcPr>
            <w:tcW w:w="73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center"/>
          </w:tcPr>
          <w:p>
            <w:pPr>
              <w:spacing w:line="360" w:lineRule="auto"/>
              <w:rPr>
                <w:rFonts w:hint="eastAsia" w:ascii="楷体" w:hAnsi="楷体" w:eastAsia="楷体"/>
                <w:sz w:val="24"/>
                <w:szCs w:val="24"/>
              </w:rPr>
            </w:pPr>
            <w:r>
              <w:rPr>
                <w:rFonts w:hint="eastAsia" w:ascii="楷体" w:hAnsi="楷体" w:eastAsia="楷体"/>
                <w:sz w:val="24"/>
                <w:szCs w:val="24"/>
              </w:rPr>
              <w:t>环境因素评价和控制措施的确定</w:t>
            </w:r>
            <w:r>
              <w:rPr>
                <w:rFonts w:hint="eastAsia" w:ascii="楷体" w:hAnsi="楷体" w:eastAsia="楷体"/>
                <w:sz w:val="24"/>
                <w:szCs w:val="24"/>
                <w:lang w:eastAsia="zh-CN"/>
              </w:rPr>
              <w:t>、</w:t>
            </w:r>
            <w:r>
              <w:rPr>
                <w:rFonts w:hint="eastAsia" w:ascii="楷体" w:hAnsi="楷体" w:eastAsia="楷体"/>
                <w:sz w:val="24"/>
                <w:szCs w:val="24"/>
              </w:rPr>
              <w:t>危险源辨识和控制措施的确定</w:t>
            </w:r>
          </w:p>
        </w:tc>
        <w:tc>
          <w:tcPr>
            <w:tcW w:w="1067" w:type="dxa"/>
            <w:vAlign w:val="center"/>
          </w:tcPr>
          <w:p>
            <w:pPr>
              <w:spacing w:line="360" w:lineRule="auto"/>
              <w:rPr>
                <w:rFonts w:hint="eastAsia"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6.1.2</w:t>
            </w:r>
          </w:p>
        </w:tc>
        <w:tc>
          <w:tcPr>
            <w:tcW w:w="10749" w:type="dxa"/>
            <w:vAlign w:val="center"/>
          </w:tcPr>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编制了《环境因素的识别与评价控制程序》、《危险源辩识、风险评价和风险控制策划程序》符合标准要求</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提供的“环境因素识别评价表”53项、“重要环境因素清单”2项， 评价考虑了三种时态现在、过去、将来、三种状态、异常、正常、紧急考虑了法律法规，并进行了评价，用打分法考虑了法规符合性、发生频次、影响范围等, 通过定性判断法，共识别出重大环境因素2项。</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对重要环境因素的控制措施包括制定管理制度、监督检查、应急预案、培训等。提供《重要环境因素识别清单》，其中综合部涉及的重要环境因素：固体废弃物排放、意外火灾的发生，评价基本合理。</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提供：识别的“危险源识别、风险评价表”识别出危险源57项，评价内容：序号，作业、活动点，潜在的危害因素，可能导致的事故，作业条件危险性评价，危险等级，是否不可接受风险，现有控制措施等。</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识别人：刘丽娜、李平、王佳林等。</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涉及的危险源有：计算机辐射，设备损坏漏电引起触电、火灾；电磁辐射人身损害；车辆意外事故等等。</w:t>
            </w:r>
          </w:p>
          <w:p>
            <w:pPr>
              <w:spacing w:line="36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val="en-US" w:eastAsia="zh-CN"/>
              </w:rPr>
              <w:t>提供的：“危险源识别与风险评价表”“不可接受风险源清单”， 评价考虑了将来、状态、可能导致的事件，并进行了评价，用打分法考虑了法规符合性、发生频次、影响范围等, 通过是非法，共识别出不可接受风险3项，涉及：触电、火灾及交通伤害，评价符合程序要求及公司的实际情况。对危险源的控制措施包括制定管理制度、监督检查、应急预案、培训等。</w:t>
            </w:r>
          </w:p>
        </w:tc>
        <w:tc>
          <w:tcPr>
            <w:tcW w:w="733" w:type="dxa"/>
          </w:tcPr>
          <w:p/>
          <w:p/>
          <w:p/>
          <w:p>
            <w:pPr>
              <w:pStyle w:val="2"/>
            </w:pPr>
          </w:p>
          <w:p/>
          <w:p>
            <w:pPr>
              <w:pStyle w:val="2"/>
            </w:pPr>
          </w:p>
          <w:p/>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160"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运行控制</w:t>
            </w:r>
          </w:p>
        </w:tc>
        <w:tc>
          <w:tcPr>
            <w:tcW w:w="1067" w:type="dxa"/>
            <w:vAlign w:val="center"/>
          </w:tcPr>
          <w:p>
            <w:pPr>
              <w:spacing w:line="360" w:lineRule="auto"/>
              <w:rPr>
                <w:rFonts w:hint="eastAsia"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8.1</w:t>
            </w:r>
          </w:p>
        </w:tc>
        <w:tc>
          <w:tcPr>
            <w:tcW w:w="10749"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本部门应执行的运行控制文件包括：</w:t>
            </w:r>
            <w:r>
              <w:rPr>
                <w:rFonts w:hint="eastAsia" w:ascii="楷体" w:hAnsi="楷体" w:eastAsia="楷体"/>
                <w:sz w:val="24"/>
                <w:szCs w:val="24"/>
                <w:lang w:val="en-GB"/>
              </w:rPr>
              <w:t>环境管理控制程序、职业健康控制程序、固体废弃物管理</w:t>
            </w:r>
            <w:r>
              <w:rPr>
                <w:rFonts w:hint="eastAsia" w:ascii="楷体" w:hAnsi="楷体" w:eastAsia="楷体"/>
                <w:sz w:val="24"/>
                <w:szCs w:val="24"/>
              </w:rPr>
              <w:t>规定</w:t>
            </w:r>
            <w:r>
              <w:rPr>
                <w:rFonts w:hint="eastAsia" w:ascii="楷体" w:hAnsi="楷体" w:eastAsia="楷体"/>
                <w:sz w:val="24"/>
                <w:szCs w:val="24"/>
                <w:lang w:val="en-GB"/>
              </w:rPr>
              <w:t>、</w:t>
            </w:r>
            <w:r>
              <w:rPr>
                <w:rFonts w:hint="eastAsia" w:ascii="楷体" w:hAnsi="楷体" w:eastAsia="楷体"/>
                <w:sz w:val="24"/>
                <w:szCs w:val="24"/>
              </w:rPr>
              <w:t>对相关方施加影响管理规定、节能降耗管理规定、消防安全管理制度、综合部安全管理制度、</w:t>
            </w:r>
            <w:r>
              <w:rPr>
                <w:rFonts w:hint="eastAsia" w:ascii="楷体" w:hAnsi="楷体" w:eastAsia="楷体"/>
                <w:sz w:val="24"/>
                <w:szCs w:val="24"/>
                <w:lang w:val="en-GB"/>
              </w:rPr>
              <w:t>车辆管理规定、电脑使用管理办法、服务人员工作规范</w:t>
            </w:r>
            <w:r>
              <w:rPr>
                <w:rFonts w:hint="eastAsia" w:ascii="楷体" w:hAnsi="楷体" w:eastAsia="楷体"/>
                <w:sz w:val="24"/>
                <w:szCs w:val="24"/>
              </w:rPr>
              <w:t>等</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运行控制情况：</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lang w:val="en-US" w:eastAsia="zh-CN"/>
              </w:rPr>
              <w:t>办公</w:t>
            </w:r>
            <w:r>
              <w:rPr>
                <w:rFonts w:hint="eastAsia" w:ascii="楷体" w:hAnsi="楷体" w:eastAsia="楷体"/>
                <w:sz w:val="24"/>
                <w:szCs w:val="24"/>
              </w:rPr>
              <w:t>区域：污水：不涉及污水，没有污水排放，生活用水排放城市管网。</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噪声：办公现场不产生明显噪声。</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固废：固体废物主要是办公产生废纸张等，配置了纸篓；办公用纸由综合部负责，复印、打印耗材都有综合部统一负责，集中处置。</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办公过程注意节约用电，做到人走灯灭，电脑长时间不用时关机，下班前要关闭电源，防止触电。</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办公区域禁止吸烟，现场查看办公区域环境整洁、宽敞、办公设备状态良好、无安全隐患。</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工作时间平均每天不超过8小时。</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现场查看办公区域配备的灭火器在有效期内。</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现场查看办公区域，整洁、光线充足、室内空气良好、配置有空</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调，办公条件较好，办公设备安全状态良好，教育员工正确使用办公设备，现场用电基本规范，无乱拉线现象，防止火灾发生。</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9、相关方施加影响：在与顾客沟通和招投标时，通过选择适当时机向顾客宣传本公司的职业健康安全的方针理念以及本公司的具体做法、成绩等，向顾客施加职业健康安全的影响，增强顾客对本公司的信任程度。</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10、驾驶员要求遵守道路交通安全法规，不违章驾车，驾驶证和车辆定期年审，确保行车安全。</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11、咨询到施工现场时必须带安全帽。</w:t>
            </w:r>
          </w:p>
        </w:tc>
        <w:tc>
          <w:tcPr>
            <w:tcW w:w="733" w:type="dxa"/>
          </w:tcPr>
          <w:p/>
          <w:p/>
          <w:p/>
          <w:p/>
          <w:p/>
          <w:p>
            <w:pPr>
              <w:pStyle w:val="2"/>
            </w:pPr>
          </w:p>
          <w:p/>
          <w:p/>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2160" w:type="dxa"/>
            <w:vAlign w:val="center"/>
          </w:tcPr>
          <w:p>
            <w:pPr>
              <w:spacing w:line="360" w:lineRule="auto"/>
              <w:rPr>
                <w:rFonts w:hint="eastAsia" w:ascii="楷体" w:hAnsi="楷体" w:eastAsia="楷体"/>
                <w:sz w:val="24"/>
                <w:szCs w:val="24"/>
                <w:lang w:val="en-US" w:eastAsia="zh-CN"/>
              </w:rPr>
            </w:pPr>
            <w:r>
              <w:rPr>
                <w:rFonts w:hint="eastAsia" w:ascii="楷体" w:hAnsi="楷体" w:eastAsia="楷体"/>
                <w:sz w:val="24"/>
                <w:szCs w:val="24"/>
              </w:rPr>
              <w:t>应急准备和响应</w:t>
            </w:r>
          </w:p>
        </w:tc>
        <w:tc>
          <w:tcPr>
            <w:tcW w:w="1067" w:type="dxa"/>
            <w:vAlign w:val="center"/>
          </w:tcPr>
          <w:p>
            <w:pPr>
              <w:spacing w:line="360" w:lineRule="auto"/>
              <w:rPr>
                <w:rFonts w:hint="eastAsia"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8.2</w:t>
            </w:r>
          </w:p>
          <w:p>
            <w:pPr>
              <w:spacing w:line="360" w:lineRule="auto"/>
              <w:ind w:firstLine="480" w:firstLineChars="200"/>
              <w:rPr>
                <w:rFonts w:hint="eastAsia" w:ascii="楷体" w:hAnsi="楷体" w:eastAsia="楷体"/>
                <w:sz w:val="24"/>
                <w:szCs w:val="24"/>
                <w:lang w:val="en-US" w:eastAsia="zh-CN"/>
              </w:rPr>
            </w:pPr>
          </w:p>
        </w:tc>
        <w:tc>
          <w:tcPr>
            <w:tcW w:w="10749" w:type="dxa"/>
            <w:vAlign w:val="center"/>
          </w:tcPr>
          <w:p>
            <w:pPr>
              <w:spacing w:line="360" w:lineRule="auto"/>
              <w:ind w:firstLine="480" w:firstLineChars="200"/>
              <w:rPr>
                <w:rFonts w:hint="eastAsia" w:ascii="楷体" w:hAnsi="楷体" w:eastAsia="楷体"/>
                <w:sz w:val="24"/>
                <w:szCs w:val="24"/>
                <w:lang w:val="zh-CN"/>
              </w:rPr>
            </w:pPr>
            <w:r>
              <w:rPr>
                <w:rFonts w:hint="eastAsia" w:ascii="楷体" w:hAnsi="楷体" w:eastAsia="楷体"/>
                <w:sz w:val="24"/>
                <w:szCs w:val="24"/>
                <w:lang w:val="zh-CN"/>
              </w:rPr>
              <w:t>公司制定《应急准备与响应控制程序》，预防或减少潜在安全事故或紧急情况造成的影响，对可能发生的各种重要环境危险源的紧急情况做出积极准备和响应，以减少事故造成的影响。</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zh-CN"/>
              </w:rPr>
              <w:t>提供了《火灾应急预案》等，包括发生火灾等紧急情况的处置和应急抢救方案等内容。工程咨询部参与了由综合</w:t>
            </w:r>
            <w:r>
              <w:rPr>
                <w:rFonts w:hint="eastAsia" w:ascii="楷体" w:hAnsi="楷体" w:eastAsia="楷体"/>
                <w:sz w:val="24"/>
                <w:szCs w:val="24"/>
                <w:lang w:val="en-US" w:eastAsia="zh-CN"/>
              </w:rPr>
              <w:t>经营</w:t>
            </w:r>
            <w:r>
              <w:rPr>
                <w:rFonts w:hint="eastAsia" w:ascii="楷体" w:hAnsi="楷体" w:eastAsia="楷体"/>
                <w:sz w:val="24"/>
                <w:szCs w:val="24"/>
                <w:lang w:val="zh-CN"/>
              </w:rPr>
              <w:t>部组织的应急演练，详见综合</w:t>
            </w:r>
            <w:r>
              <w:rPr>
                <w:rFonts w:hint="eastAsia" w:ascii="楷体" w:hAnsi="楷体" w:eastAsia="楷体"/>
                <w:sz w:val="24"/>
                <w:szCs w:val="24"/>
                <w:lang w:val="en-US" w:eastAsia="zh-CN"/>
              </w:rPr>
              <w:t>经营</w:t>
            </w:r>
            <w:r>
              <w:rPr>
                <w:rFonts w:hint="eastAsia" w:ascii="楷体" w:hAnsi="楷体" w:eastAsia="楷体"/>
                <w:sz w:val="24"/>
                <w:szCs w:val="24"/>
                <w:lang w:val="zh-CN"/>
              </w:rPr>
              <w:t>部记录。</w:t>
            </w:r>
          </w:p>
        </w:tc>
        <w:tc>
          <w:tcPr>
            <w:tcW w:w="733" w:type="dxa"/>
            <w:vAlign w:val="top"/>
          </w:tcPr>
          <w:p/>
          <w:p/>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vAlign w:val="center"/>
          </w:tcPr>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生产和服务提供的控制</w:t>
            </w:r>
          </w:p>
          <w:p>
            <w:pPr>
              <w:spacing w:line="360" w:lineRule="auto"/>
              <w:rPr>
                <w:rFonts w:hint="default" w:ascii="楷体" w:hAnsi="楷体" w:eastAsia="楷体"/>
                <w:sz w:val="24"/>
                <w:szCs w:val="24"/>
                <w:lang w:val="en-US" w:eastAsia="zh-CN"/>
              </w:rPr>
            </w:pPr>
          </w:p>
        </w:tc>
        <w:tc>
          <w:tcPr>
            <w:tcW w:w="1067" w:type="dxa"/>
            <w:vAlign w:val="center"/>
          </w:tcPr>
          <w:p>
            <w:pPr>
              <w:spacing w:line="360" w:lineRule="auto"/>
              <w:rPr>
                <w:rFonts w:hint="eastAsia" w:ascii="楷体" w:hAnsi="楷体" w:eastAsia="楷体"/>
                <w:sz w:val="24"/>
                <w:szCs w:val="24"/>
              </w:rPr>
            </w:pPr>
            <w:r>
              <w:rPr>
                <w:rFonts w:hint="eastAsia" w:ascii="楷体" w:hAnsi="楷体" w:eastAsia="楷体"/>
                <w:sz w:val="24"/>
                <w:szCs w:val="24"/>
              </w:rPr>
              <w:t>Q8.5.1</w:t>
            </w:r>
          </w:p>
          <w:p>
            <w:pPr>
              <w:spacing w:line="360" w:lineRule="auto"/>
              <w:rPr>
                <w:rFonts w:hint="default" w:ascii="楷体" w:hAnsi="楷体" w:eastAsia="楷体"/>
                <w:sz w:val="24"/>
                <w:szCs w:val="24"/>
                <w:lang w:val="en-US" w:eastAsia="zh-CN"/>
              </w:rPr>
            </w:pPr>
          </w:p>
        </w:tc>
        <w:tc>
          <w:tcPr>
            <w:tcW w:w="10749" w:type="dxa"/>
            <w:vAlign w:val="center"/>
          </w:tcPr>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工程咨询服务的提供遵循下列文件</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rPr>
              <w:t>1、法律法规及工程建设标准;</w:t>
            </w:r>
            <w:r>
              <w:rPr>
                <w:rFonts w:hint="eastAsia" w:ascii="楷体" w:hAnsi="楷体" w:eastAsia="楷体" w:cs="楷体"/>
                <w:sz w:val="24"/>
                <w:szCs w:val="24"/>
                <w:lang w:val="en-US" w:eastAsia="zh-CN"/>
              </w:rPr>
              <w:t>GB/T50236-2017、以及本公示的文件“项目管理工作手册”。</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rPr>
              <w:t>工程项目管理</w:t>
            </w:r>
            <w:r>
              <w:rPr>
                <w:rFonts w:hint="eastAsia" w:ascii="楷体" w:hAnsi="楷体" w:eastAsia="楷体" w:cs="楷体"/>
                <w:sz w:val="24"/>
                <w:szCs w:val="24"/>
                <w:lang w:val="en-US" w:eastAsia="zh-CN"/>
              </w:rPr>
              <w:t>流程：签订项目管理合同-组建项目部住现场-编制项目实施计划及方案-计划评审-进行开工前准备工作-举行业主项目启动和项目开工会议-项目实施过程控制-项目综合竣工验收/试运行/竣工备案-进行项目收尾-项目结束/进入保修期。</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抽查《建设工程项目管理合同》</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项目名称：新建宁河区桥北新区足球场；</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委托方：天津市宁河区体育局；</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受托方：天津市东方瑞祥工程咨询有限公司</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服务类别：全过程项目管理；</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管理费用：具体事项详见合同；</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合同评审部门：项目管理部</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评审人批准：陈兰青</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评审结论：同意</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批准人：韩亚华</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时间：2019年11月29日</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提供《建设工程项目管理方案》</w:t>
            </w:r>
          </w:p>
          <w:p>
            <w:pPr>
              <w:pStyle w:val="2"/>
              <w:numPr>
                <w:ilvl w:val="0"/>
                <w:numId w:val="0"/>
              </w:numPr>
              <w:ind w:left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项目管理工作流程：根据本项目具体情况，拟将主要确定下述工作流程:</w:t>
            </w:r>
          </w:p>
          <w:p>
            <w:pPr>
              <w:pStyle w:val="2"/>
              <w:numPr>
                <w:ilvl w:val="0"/>
                <w:numId w:val="1"/>
              </w:numPr>
              <w:ind w:left="0" w:leftChars="0" w:firstLine="482"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现场会议流程;</w:t>
            </w:r>
          </w:p>
          <w:p>
            <w:pPr>
              <w:pStyle w:val="2"/>
              <w:numPr>
                <w:ilvl w:val="0"/>
                <w:numId w:val="1"/>
              </w:numPr>
              <w:ind w:left="0" w:leftChars="0" w:firstLine="482"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招标工作流程;</w:t>
            </w:r>
          </w:p>
          <w:p>
            <w:pPr>
              <w:pStyle w:val="2"/>
              <w:numPr>
                <w:ilvl w:val="0"/>
                <w:numId w:val="1"/>
              </w:numPr>
              <w:ind w:left="0" w:leftChars="0" w:firstLine="482"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采购工作流程;</w:t>
            </w:r>
          </w:p>
          <w:p>
            <w:pPr>
              <w:pStyle w:val="2"/>
              <w:numPr>
                <w:ilvl w:val="0"/>
                <w:numId w:val="1"/>
              </w:numPr>
              <w:ind w:left="0" w:leftChars="0" w:firstLine="482"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合同评审工作流程;</w:t>
            </w:r>
          </w:p>
          <w:p>
            <w:pPr>
              <w:pStyle w:val="2"/>
              <w:numPr>
                <w:ilvl w:val="0"/>
                <w:numId w:val="1"/>
              </w:numPr>
              <w:ind w:left="0" w:leftChars="0" w:firstLine="482"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设计变更和工程签证工作流程;</w:t>
            </w:r>
          </w:p>
          <w:p>
            <w:pPr>
              <w:pStyle w:val="2"/>
              <w:numPr>
                <w:ilvl w:val="0"/>
                <w:numId w:val="1"/>
              </w:numPr>
              <w:ind w:left="0" w:leftChars="0" w:firstLine="482"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工程验收工作流程;</w:t>
            </w:r>
          </w:p>
          <w:p>
            <w:pPr>
              <w:pStyle w:val="2"/>
              <w:numPr>
                <w:ilvl w:val="0"/>
                <w:numId w:val="1"/>
              </w:numPr>
              <w:ind w:left="0" w:leftChars="0" w:firstLine="402" w:firstLineChars="200"/>
              <w:rPr>
                <w:rFonts w:hint="eastAsia"/>
                <w:lang w:val="en-US" w:eastAsia="zh-CN"/>
              </w:rPr>
            </w:pPr>
            <w:r>
              <w:rPr>
                <w:rFonts w:hint="eastAsia"/>
                <w:lang w:val="en-US" w:eastAsia="zh-CN"/>
              </w:rPr>
              <w:t>付款工作流程;</w:t>
            </w:r>
          </w:p>
          <w:p>
            <w:pPr>
              <w:pStyle w:val="2"/>
              <w:numPr>
                <w:ilvl w:val="0"/>
                <w:numId w:val="1"/>
              </w:numPr>
              <w:ind w:left="0" w:leftChars="0" w:firstLine="402" w:firstLineChars="200"/>
              <w:rPr>
                <w:rFonts w:hint="eastAsia"/>
                <w:lang w:val="en-US" w:eastAsia="zh-CN"/>
              </w:rPr>
            </w:pPr>
            <w:r>
              <w:rPr>
                <w:rFonts w:hint="eastAsia"/>
                <w:lang w:val="en-US" w:eastAsia="zh-CN"/>
              </w:rPr>
              <w:t>信息传递流程;</w:t>
            </w:r>
          </w:p>
          <w:p>
            <w:pPr>
              <w:pStyle w:val="2"/>
              <w:numPr>
                <w:ilvl w:val="0"/>
                <w:numId w:val="1"/>
              </w:numPr>
              <w:ind w:left="0" w:leftChars="0" w:firstLine="402" w:firstLineChars="200"/>
              <w:rPr>
                <w:rFonts w:hint="eastAsia"/>
                <w:lang w:val="en-US" w:eastAsia="zh-CN"/>
              </w:rPr>
            </w:pPr>
            <w:r>
              <w:rPr>
                <w:rFonts w:hint="eastAsia"/>
                <w:lang w:val="en-US" w:eastAsia="zh-CN"/>
              </w:rPr>
              <w:t>计划审批流程。</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项目名称：新建宁河区桥北新区足球场；</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委托方：天津市宁河区体育局；</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受托方：天津市东方瑞祥工程咨询有限公司</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委托方式：甲方委托乙方全面负责本工程项目的管理组织工作，及即乙方在本工程建设期内行使甲方授权范围内的工程项目管理组织权力，并履行相应的义务。</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工程项目管理期限：自本工程项目签订项目管理合同之日起至本工程项目全面竣工验收交付使用之日止，即2019年4月20日至2019年7月31日。2019年8月1日至2021年7月31日为质保期。</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查《天津市建设工程委托监理合同》编号：(JF - 20 1 2- 0 6 2 )</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委托人:天津市宁河区体育局；</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监理人:天津中海工程管理咨询有限公司；</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工程概况：工程名称:新建宁河区桥北新区足球场项目工程地点:宁河区桥北新区。</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工程规模: 9394平方米；</w:t>
            </w:r>
          </w:p>
          <w:p>
            <w:pPr>
              <w:spacing w:line="360" w:lineRule="auto"/>
              <w:ind w:firstLine="420" w:firstLineChars="200"/>
              <w:rPr>
                <w:rFonts w:hint="eastAsia" w:ascii="楷体" w:hAnsi="楷体" w:eastAsia="楷体" w:cs="楷体"/>
                <w:lang w:val="en-US" w:eastAsia="zh-CN"/>
              </w:rPr>
            </w:pPr>
            <w:r>
              <w:rPr>
                <w:rFonts w:hint="eastAsia" w:ascii="楷体" w:hAnsi="楷体" w:eastAsia="楷体" w:cs="楷体"/>
                <w:lang w:val="en-US" w:eastAsia="zh-CN"/>
              </w:rPr>
              <w:t>工程概算投资额或建筑安装工程费:1058.7万元。</w:t>
            </w:r>
          </w:p>
          <w:p>
            <w:pPr>
              <w:pStyle w:val="2"/>
              <w:rPr>
                <w:rFonts w:hint="eastAsia" w:ascii="楷体" w:hAnsi="楷体" w:eastAsia="楷体" w:cs="楷体"/>
                <w:lang w:val="en-US" w:eastAsia="zh-CN"/>
              </w:rPr>
            </w:pPr>
            <w:r>
              <w:rPr>
                <w:rFonts w:hint="eastAsia" w:ascii="楷体" w:hAnsi="楷体" w:eastAsia="楷体" w:cs="楷体"/>
                <w:lang w:val="en-US" w:eastAsia="zh-CN"/>
              </w:rPr>
              <w:t>查《天津市建设工程勘察合同》编号：( JF-2017-075 )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发包人(全称):天津市宁河区体育局；</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勘察人（全称):天津市地质工程勘察院；</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根据《中华人民共和国合同法》、《中华人民共和国建筑法》、《中华人民共和国招标投标法》等相关法律法规的规定，遵循平等、自愿、公平和诚实信用的原则，双方就本项目工程勘察有关事项协商一致，达成如下协议。</w:t>
            </w:r>
          </w:p>
          <w:p>
            <w:pPr>
              <w:pStyle w:val="2"/>
              <w:numPr>
                <w:ilvl w:val="0"/>
                <w:numId w:val="2"/>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工程概况：</w:t>
            </w:r>
          </w:p>
          <w:p>
            <w:pPr>
              <w:numPr>
                <w:ilvl w:val="0"/>
                <w:numId w:val="3"/>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工程名称:新建宁河区桥北新区足球场项目2.工程地点:天津市宁河区桥北新区；</w:t>
            </w:r>
          </w:p>
          <w:p>
            <w:pPr>
              <w:pStyle w:val="2"/>
              <w:numPr>
                <w:ilvl w:val="0"/>
                <w:numId w:val="3"/>
              </w:numPr>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工程名称:新建宁河区桥北新区足球场项目2.工程地点:天津市宁河区桥北新区；</w:t>
            </w:r>
          </w:p>
          <w:p>
            <w:pPr>
              <w:numPr>
                <w:ilvl w:val="0"/>
                <w:numId w:val="3"/>
              </w:numPr>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工程规模、特征:建设规模9394平方米。二、勘察范围和阶段、技术要求及工作量。</w:t>
            </w:r>
          </w:p>
          <w:p>
            <w:pPr>
              <w:pStyle w:val="2"/>
              <w:numPr>
                <w:ilvl w:val="0"/>
                <w:numId w:val="2"/>
              </w:numPr>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勘察范围和阶段、技术要求及工作量：</w:t>
            </w:r>
          </w:p>
          <w:p>
            <w:pPr>
              <w:numPr>
                <w:ilvl w:val="0"/>
                <w:numId w:val="4"/>
              </w:numPr>
              <w:ind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勘察范围和阶段:完成红线范围内全部岩土工程详勘工作；</w:t>
            </w:r>
          </w:p>
          <w:p>
            <w:pPr>
              <w:pStyle w:val="2"/>
              <w:numPr>
                <w:ilvl w:val="0"/>
                <w:numId w:val="4"/>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技术要求:《岩土工程勘察规范》（GB50021-2001，2009年版）、《天津市岩土工程勘察规范》(DB/T29-247-2017)、《建筑地基基础设计规范》(GB50007-2011)、《市政工程勘察规范》（CJJ56-2012）等。甲方提供该工程总平面图及相关管理体系文件对勘察施工的具体规定。</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查《天津市建设工程设计合同》JF-2015-071</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发包人(全称):天津市宁河区体育局；</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设计人（全称）:天津市字河区城乡规划设计研究所；</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根据《中华人民共和国合同法》、《中华人民共和国建筑法》及有关法律规定,遵循平等、自愿、公平和诚实信用的原则，双万本工程设计及有关事项协商如下协议：</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设计范围、阶段与服务内容：1.工程设计范围:新建宁河区桥北足球场项目施工图。2.工程设计阶段:施工图；3.工程设计服务内容:新建宁河区桥北足球场项目施工图。工程设计范围、阶段与服务内容详见专用合同条款附件1。</w:t>
            </w:r>
          </w:p>
          <w:p>
            <w:pPr>
              <w:rPr>
                <w:rFonts w:hint="eastAsia" w:ascii="楷体" w:hAnsi="楷体" w:eastAsia="楷体" w:cs="楷体"/>
                <w:sz w:val="24"/>
                <w:szCs w:val="24"/>
                <w:lang w:val="en-US" w:eastAsia="zh-CN"/>
              </w:rPr>
            </w:pP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查《天津市建设工程施工合同》编号：(JF-2017-068） </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根据《中华人民共和国合同法》、《中华人民共和国建筑法》及有关法律规定，遵循平等、自愿、公平和诚实信用的原则，双方就新建宁河区桥北新区足球场项目工程施工及有关事项协商一致，共同达成如下协议:</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发包人：发包人（全称）:天津市宁河区体育局</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一、工程概况</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承包人：承包人（(全称):天津金建达建筑工程有限公司</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工程名称:新建宁河区桥北新区足球场项目；</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工程地点:天津市宁河区桥北新区；</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工程立项批准文号：3.工程立项批准文号:宁审批政投【2019】10号</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资金来源：财政拨款</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内容:新建宁河区桥北新区足球场项目，新建45*90m标准11人制足球场一块，管理用房150平米，环形健身步道及小型健身广场，并包括保护网、电器工程。给排水工程、场地照明、场地绿化等配套附属设施。工程范围：地基与基础、钢结构、装饰装修、机电安装；</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二、合同工期：</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计划开工日期:2019-07-01</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计划竣工日期:2019-08-31</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工期总日历天数：62</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质量标准：</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工程质量符合：合格、标准；</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合同签字人：甲方：刘士刚、乙方：郑东兴</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合同生效日期：2019年6月27日。</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提供该工程项目的重大危险源清单以及控制措施、安全生产管理协议、该工程项目的环境因素清单即控制措施、</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提供有该项目的《勘察单位工程质量检查报告》（合格证明书）、《设计单位工程质量检查报告》（合格证明书）、</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提供该项目的《项目管理联系单》和《项目管理会议纪要》；</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抽查《项目管理联系单》</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工程项目：新建宁河区桥北新区足球场项目</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题目：关于加强对施工单位质量安全控制的要求</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内容：内容:(项目管理公司对各参建单位的文件，编号顺延）</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施工单位必须严格按照天津市有关规定和项目管理单位、监理单位的要求进行施工。施工单位必须重视安全和环境保护工作，工作不能打折扣，对裸土苦盖和文明施工尤其重视，不能因为工作不力造成其他影响。要求施工单位必须顺应现阶段</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环保扬尘的严峻形势，必须做到位。</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2、施工要重视质量工作，对填土的土质、分层、碾压、标高、验收标高和沉降量的预留等工作严格按照规范和质量要求进行认真施工。</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3、要求各单位严格履行标书中对人员、设备、方案等要求进行工作的准备和工作。尤其是人员到岗等要符合有关要求</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4、希望施工单位和监理单位严格履行工程施工手续，严格要求自己和对方，认真施工，科学施工，严谨施工。</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5、要求各单位重视工期，确保工程按期完工。</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项目考虑事前方案的编制，达到具有可操作性；过程种的监督管理，保证严格按照设计图纸实施，按照规范要求检查，事后检查有理有据，减少返工；</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施工单位严格按照自检、互检及报检制度实施，若监理单位发现施工单位未及时报检就进行下一步施工，应立即停止该部位施工，验收合格后方能复工，对此产生的费用及工期的增加由施工单位承担。</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安全文明施工检查发现的问题，应立即采取有效措施进行整改，禁止存在安全隐患施工。</w:t>
            </w:r>
          </w:p>
          <w:p>
            <w:pPr>
              <w:spacing w:line="360" w:lineRule="auto"/>
              <w:ind w:firstLine="480" w:firstLineChars="200"/>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编制：周晓燕      审核：尚用行        时间：2019年8月14日</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抽查《项目管理会议纪要》</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会议主题：对施工方提出要求</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会议内容：1、各单位尽快完善通讯录和严格按照中标文件要求的人员及时到岗。2、施工单位做好安全预控措施，对现场集装箱、临时用电、电缆拖地、现场安全防卫、门卫值班、安全交底和车辆的安全保证、专职安全员的配备等安全工作均在近期完成并上报到监理单位。3、施工单位做好扬尘控制工作，密目网苦盖必须不少于1500目，少于1500目必须苦盖2层。雾炮、冲车设备等及时到位。环境保护工作必须严格按照天津市有关规定。4、施工单位施工前将施工区域内现有的雨、污水井找出来，并进行标识,填土过程中要做好该井的标识和保护工作。5、做好填土标高控制工作，严格按照图纸进行施工。6、最终验收标高各方根据图纸要求进行，施工单位预留沉降量。</w:t>
            </w:r>
          </w:p>
          <w:p>
            <w:pPr>
              <w:spacing w:line="360" w:lineRule="auto"/>
              <w:ind w:firstLine="480" w:firstLineChars="200"/>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记录：</w:t>
            </w:r>
            <w:r>
              <w:rPr>
                <w:rFonts w:hint="eastAsia" w:ascii="楷体" w:hAnsi="楷体" w:eastAsia="楷体" w:cs="楷体"/>
                <w:color w:val="FF0000"/>
                <w:sz w:val="24"/>
                <w:szCs w:val="24"/>
                <w:lang w:val="en-US" w:eastAsia="zh-CN"/>
              </w:rPr>
              <w:t>周晓燕</w:t>
            </w:r>
            <w:r>
              <w:rPr>
                <w:rFonts w:hint="eastAsia" w:ascii="楷体" w:hAnsi="楷体" w:eastAsia="楷体" w:cs="楷体"/>
                <w:color w:val="FF0000"/>
                <w:sz w:val="24"/>
                <w:szCs w:val="24"/>
                <w:lang w:val="en-US" w:eastAsia="zh-CN"/>
              </w:rPr>
              <w:t xml:space="preserve">            审核：</w:t>
            </w:r>
            <w:r>
              <w:rPr>
                <w:rFonts w:hint="eastAsia" w:ascii="楷体" w:hAnsi="楷体" w:eastAsia="楷体" w:cs="楷体"/>
                <w:color w:val="FF0000"/>
                <w:sz w:val="24"/>
                <w:szCs w:val="24"/>
                <w:lang w:val="en-US" w:eastAsia="zh-CN"/>
              </w:rPr>
              <w:t xml:space="preserve">尚用行         </w:t>
            </w:r>
            <w:bookmarkStart w:id="0" w:name="_GoBack"/>
            <w:bookmarkEnd w:id="0"/>
            <w:r>
              <w:rPr>
                <w:rFonts w:hint="eastAsia" w:ascii="楷体" w:hAnsi="楷体" w:eastAsia="楷体" w:cs="楷体"/>
                <w:color w:val="FF0000"/>
                <w:sz w:val="24"/>
                <w:szCs w:val="24"/>
                <w:lang w:val="en-US" w:eastAsia="zh-CN"/>
              </w:rPr>
              <w:t>时间：2019年8月10日</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提供《项目管理月报》。</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有项目管理组织机构、月工程形象进度、机械/劳动力/材料阅读情况、工程月度进度、工程质量分析、下月注意事项等。</w:t>
            </w:r>
          </w:p>
          <w:p>
            <w:pPr>
              <w:spacing w:line="360" w:lineRule="auto"/>
              <w:ind w:firstLine="480" w:firstLineChars="200"/>
              <w:jc w:val="left"/>
              <w:rPr>
                <w:rFonts w:hint="default"/>
                <w:lang w:val="en-US" w:eastAsia="zh-CN"/>
              </w:rPr>
            </w:pPr>
            <w:r>
              <w:rPr>
                <w:rFonts w:hint="eastAsia" w:ascii="楷体" w:hAnsi="楷体" w:eastAsia="楷体" w:cs="楷体"/>
                <w:sz w:val="24"/>
                <w:szCs w:val="24"/>
                <w:lang w:val="en-US" w:eastAsia="zh-CN"/>
              </w:rPr>
              <w:t>查有相应的运行记录，提供了《安全文明施工检查记录》和《施工现场月检查记录表》。</w:t>
            </w:r>
            <w:r>
              <w:rPr>
                <w:rFonts w:hint="eastAsia"/>
                <w:lang w:val="en-US" w:eastAsia="zh-CN"/>
              </w:rPr>
              <w:drawing>
                <wp:inline distT="0" distB="0" distL="114300" distR="114300">
                  <wp:extent cx="3241040" cy="2929255"/>
                  <wp:effectExtent l="0" t="0" r="10160" b="4445"/>
                  <wp:docPr id="2" name="图片 2" descr="微信图片_2021122812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28123248"/>
                          <pic:cNvPicPr>
                            <a:picLocks noChangeAspect="1"/>
                          </pic:cNvPicPr>
                        </pic:nvPicPr>
                        <pic:blipFill>
                          <a:blip r:embed="rId6"/>
                          <a:stretch>
                            <a:fillRect/>
                          </a:stretch>
                        </pic:blipFill>
                        <pic:spPr>
                          <a:xfrm>
                            <a:off x="0" y="0"/>
                            <a:ext cx="3241040" cy="2929255"/>
                          </a:xfrm>
                          <a:prstGeom prst="rect">
                            <a:avLst/>
                          </a:prstGeom>
                        </pic:spPr>
                      </pic:pic>
                    </a:graphicData>
                  </a:graphic>
                </wp:inline>
              </w:drawing>
            </w:r>
            <w:r>
              <w:rPr>
                <w:rFonts w:hint="eastAsia"/>
                <w:lang w:val="en-US" w:eastAsia="zh-CN"/>
              </w:rPr>
              <w:drawing>
                <wp:inline distT="0" distB="0" distL="114300" distR="114300">
                  <wp:extent cx="3272790" cy="2890520"/>
                  <wp:effectExtent l="0" t="0" r="3810" b="5080"/>
                  <wp:docPr id="1" name="图片 1" descr="微信图片_2021122812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228123010"/>
                          <pic:cNvPicPr>
                            <a:picLocks noChangeAspect="1"/>
                          </pic:cNvPicPr>
                        </pic:nvPicPr>
                        <pic:blipFill>
                          <a:blip r:embed="rId7"/>
                          <a:stretch>
                            <a:fillRect/>
                          </a:stretch>
                        </pic:blipFill>
                        <pic:spPr>
                          <a:xfrm>
                            <a:off x="0" y="0"/>
                            <a:ext cx="3272790" cy="2890520"/>
                          </a:xfrm>
                          <a:prstGeom prst="rect">
                            <a:avLst/>
                          </a:prstGeom>
                        </pic:spPr>
                      </pic:pic>
                    </a:graphicData>
                  </a:graphic>
                </wp:inline>
              </w:drawing>
            </w:r>
            <w:r>
              <w:rPr>
                <w:rFonts w:hint="eastAsia"/>
                <w:lang w:val="en-US" w:eastAsia="zh-CN"/>
              </w:rPr>
              <w:t xml:space="preserve"> </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drawing>
                <wp:inline distT="0" distB="0" distL="114300" distR="114300">
                  <wp:extent cx="6506210" cy="2517140"/>
                  <wp:effectExtent l="0" t="0" r="8890" b="10160"/>
                  <wp:docPr id="5" name="图片 5" descr="C:/Users/hb/AppData/Local/Temp/picturecompress_2021122812351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b/AppData/Local/Temp/picturecompress_20211228123519/output_1.jpgoutput_1"/>
                          <pic:cNvPicPr>
                            <a:picLocks noChangeAspect="1"/>
                          </pic:cNvPicPr>
                        </pic:nvPicPr>
                        <pic:blipFill>
                          <a:blip r:embed="rId8"/>
                          <a:stretch>
                            <a:fillRect/>
                          </a:stretch>
                        </pic:blipFill>
                        <pic:spPr>
                          <a:xfrm>
                            <a:off x="0" y="0"/>
                            <a:ext cx="6506210" cy="2517140"/>
                          </a:xfrm>
                          <a:prstGeom prst="rect">
                            <a:avLst/>
                          </a:prstGeom>
                        </pic:spPr>
                      </pic:pic>
                    </a:graphicData>
                  </a:graphic>
                </wp:inline>
              </w:drawing>
            </w:r>
          </w:p>
          <w:p>
            <w:pPr>
              <w:pStyle w:val="2"/>
              <w:rPr>
                <w:rFonts w:hint="default"/>
                <w:lang w:val="en-US" w:eastAsia="zh-CN"/>
              </w:rPr>
            </w:pPr>
            <w:r>
              <w:rPr>
                <w:rFonts w:hint="eastAsia" w:ascii="楷体" w:hAnsi="楷体" w:eastAsia="楷体"/>
                <w:sz w:val="24"/>
                <w:szCs w:val="24"/>
                <w:lang w:val="en-US" w:eastAsia="zh-CN"/>
              </w:rPr>
              <w:t>现场查看施工项目以及配套图纸与工程的的符合性，听取技术负责人员介绍施工情况，以及后续收尾工作。整体是满足运行控制要求的。</w:t>
            </w:r>
          </w:p>
        </w:tc>
        <w:tc>
          <w:tcPr>
            <w:tcW w:w="73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160" w:type="dxa"/>
            <w:vAlign w:val="center"/>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产品和服务的放行</w:t>
            </w:r>
          </w:p>
        </w:tc>
        <w:tc>
          <w:tcPr>
            <w:tcW w:w="1067" w:type="dxa"/>
            <w:vAlign w:val="top"/>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 xml:space="preserve">Q8.6 </w:t>
            </w:r>
          </w:p>
          <w:p>
            <w:pPr>
              <w:spacing w:line="360" w:lineRule="auto"/>
              <w:rPr>
                <w:rFonts w:hint="eastAsia" w:ascii="楷体" w:hAnsi="楷体" w:eastAsia="楷体"/>
                <w:sz w:val="24"/>
                <w:szCs w:val="24"/>
                <w:lang w:val="en-US" w:eastAsia="zh-CN"/>
              </w:rPr>
            </w:pPr>
          </w:p>
        </w:tc>
        <w:tc>
          <w:tcPr>
            <w:tcW w:w="10749" w:type="dxa"/>
            <w:vAlign w:val="top"/>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为确保采购物资符合要求，对采购物资实施验证活动；暂无在供方处验证要求，同时也没有要求在供方处进行验证。</w:t>
            </w: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查：进货检验，</w:t>
            </w:r>
          </w:p>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提供日常办公用品采购检验记录</w:t>
            </w:r>
          </w:p>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依据《建设单位对勘察、设计、施工、监理等单位在施工过程中质量行为的评价》，给出结论：工程质量是否合格；质量评估报告是否真实有效；工程档案资料目前正在协助建设单位资料归档，办理备案手续。</w:t>
            </w:r>
          </w:p>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最终放行会依据《工程质量综合验收报告》:对1.分部工程;2.安全、功能检查（检测）报告；3.质量控制资料核查；4.主要使用功能抽查结果；5.观感质量验收；6.综合验收结论等问题给出综合意见。</w:t>
            </w:r>
          </w:p>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公司产品和服务的放行基本符合规定要求。</w:t>
            </w:r>
          </w:p>
        </w:tc>
        <w:tc>
          <w:tcPr>
            <w:tcW w:w="733"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符合</w:t>
            </w:r>
          </w:p>
        </w:tc>
      </w:tr>
    </w:tbl>
    <w:p>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B1706"/>
    <w:multiLevelType w:val="singleLevel"/>
    <w:tmpl w:val="86EB1706"/>
    <w:lvl w:ilvl="0" w:tentative="0">
      <w:start w:val="1"/>
      <w:numFmt w:val="chineseCounting"/>
      <w:suff w:val="nothing"/>
      <w:lvlText w:val="%1、"/>
      <w:lvlJc w:val="left"/>
      <w:rPr>
        <w:rFonts w:hint="eastAsia"/>
      </w:rPr>
    </w:lvl>
  </w:abstractNum>
  <w:abstractNum w:abstractNumId="1">
    <w:nsid w:val="994F70CE"/>
    <w:multiLevelType w:val="singleLevel"/>
    <w:tmpl w:val="994F70CE"/>
    <w:lvl w:ilvl="0" w:tentative="0">
      <w:start w:val="1"/>
      <w:numFmt w:val="decimalEnclosedCircleChinese"/>
      <w:suff w:val="nothing"/>
      <w:lvlText w:val="%1　"/>
      <w:lvlJc w:val="left"/>
      <w:pPr>
        <w:ind w:left="0" w:firstLine="400"/>
      </w:pPr>
      <w:rPr>
        <w:rFonts w:hint="eastAsia"/>
      </w:rPr>
    </w:lvl>
  </w:abstractNum>
  <w:abstractNum w:abstractNumId="2">
    <w:nsid w:val="E5F89455"/>
    <w:multiLevelType w:val="singleLevel"/>
    <w:tmpl w:val="E5F89455"/>
    <w:lvl w:ilvl="0" w:tentative="0">
      <w:start w:val="1"/>
      <w:numFmt w:val="decimal"/>
      <w:lvlText w:val="%1."/>
      <w:lvlJc w:val="left"/>
      <w:pPr>
        <w:tabs>
          <w:tab w:val="left" w:pos="312"/>
        </w:tabs>
      </w:pPr>
    </w:lvl>
  </w:abstractNum>
  <w:abstractNum w:abstractNumId="3">
    <w:nsid w:val="F7695232"/>
    <w:multiLevelType w:val="singleLevel"/>
    <w:tmpl w:val="F7695232"/>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E5D4C"/>
    <w:rsid w:val="02090F4F"/>
    <w:rsid w:val="03AD1A32"/>
    <w:rsid w:val="03CF506A"/>
    <w:rsid w:val="0BAA0F8E"/>
    <w:rsid w:val="0C9028CE"/>
    <w:rsid w:val="0D900995"/>
    <w:rsid w:val="12772BAB"/>
    <w:rsid w:val="13382C11"/>
    <w:rsid w:val="147C10A3"/>
    <w:rsid w:val="14B16504"/>
    <w:rsid w:val="14DE0976"/>
    <w:rsid w:val="16BF6ECB"/>
    <w:rsid w:val="178B2335"/>
    <w:rsid w:val="1D3B676E"/>
    <w:rsid w:val="1E291F7E"/>
    <w:rsid w:val="21541347"/>
    <w:rsid w:val="22E41532"/>
    <w:rsid w:val="24786807"/>
    <w:rsid w:val="288411D2"/>
    <w:rsid w:val="293D0543"/>
    <w:rsid w:val="2B9222FA"/>
    <w:rsid w:val="2BCA3D8E"/>
    <w:rsid w:val="2DAC6A3A"/>
    <w:rsid w:val="312841EC"/>
    <w:rsid w:val="326459D6"/>
    <w:rsid w:val="3377680E"/>
    <w:rsid w:val="3505165F"/>
    <w:rsid w:val="375B75A0"/>
    <w:rsid w:val="37AC637C"/>
    <w:rsid w:val="38775C6A"/>
    <w:rsid w:val="3DC840E4"/>
    <w:rsid w:val="3EC90DBB"/>
    <w:rsid w:val="40846234"/>
    <w:rsid w:val="426F745B"/>
    <w:rsid w:val="434979F3"/>
    <w:rsid w:val="43684178"/>
    <w:rsid w:val="455A672D"/>
    <w:rsid w:val="45B646D5"/>
    <w:rsid w:val="45C5040D"/>
    <w:rsid w:val="4719568A"/>
    <w:rsid w:val="485B0F56"/>
    <w:rsid w:val="49986975"/>
    <w:rsid w:val="4B8A5987"/>
    <w:rsid w:val="4BB65B43"/>
    <w:rsid w:val="4C4138D5"/>
    <w:rsid w:val="4DDA357A"/>
    <w:rsid w:val="4EDD18C8"/>
    <w:rsid w:val="50D94FC0"/>
    <w:rsid w:val="522E3DF1"/>
    <w:rsid w:val="57EF5CDF"/>
    <w:rsid w:val="59101C2D"/>
    <w:rsid w:val="5C4001D5"/>
    <w:rsid w:val="5D8B7B77"/>
    <w:rsid w:val="5E262C71"/>
    <w:rsid w:val="604148A4"/>
    <w:rsid w:val="64BF78A7"/>
    <w:rsid w:val="655E7477"/>
    <w:rsid w:val="659808C8"/>
    <w:rsid w:val="68DB3A27"/>
    <w:rsid w:val="694B1F5C"/>
    <w:rsid w:val="697605B8"/>
    <w:rsid w:val="6A615EE7"/>
    <w:rsid w:val="6B050BB9"/>
    <w:rsid w:val="6C3118E4"/>
    <w:rsid w:val="6CA60556"/>
    <w:rsid w:val="6D5533B5"/>
    <w:rsid w:val="6EF61C1A"/>
    <w:rsid w:val="75B848AE"/>
    <w:rsid w:val="75D55A1D"/>
    <w:rsid w:val="76393166"/>
    <w:rsid w:val="7A7D03A9"/>
    <w:rsid w:val="7B605E1F"/>
    <w:rsid w:val="7C3500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0"/>
      <w:szCs w:val="20"/>
    </w:rPr>
  </w:style>
  <w:style w:type="paragraph" w:styleId="4">
    <w:name w:val="Body Text Indent"/>
    <w:basedOn w:val="1"/>
    <w:semiHidden/>
    <w:qFormat/>
    <w:uiPriority w:val="99"/>
    <w:pPr>
      <w:spacing w:after="120"/>
      <w:ind w:left="420" w:leftChars="20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99"/>
    <w:pPr>
      <w:spacing w:after="0"/>
      <w:ind w:left="0" w:leftChars="0" w:firstLine="420" w:firstLineChars="200"/>
      <w:jc w:val="left"/>
    </w:pPr>
    <w:rPr>
      <w:rFonts w:ascii="宋体" w:hAnsi="宋体" w:eastAsia="仿宋_GB2312"/>
      <w:color w:val="000000"/>
      <w:sz w:val="28"/>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2021-12-28T07:01:46Z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