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6192520" cy="8753475"/>
            <wp:effectExtent l="0" t="0" r="5080" b="9525"/>
            <wp:wrapNone/>
            <wp:docPr id="1" name="图片 1" descr="D ISC-B-II-05 专业培训记录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B-II-05 专业培训记录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402"/>
        <w:gridCol w:w="1321"/>
        <w:gridCol w:w="157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天津市东方瑞祥工程咨询有限公司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8" w:name="专业代码"/>
            <w:r>
              <w:rPr>
                <w:b/>
                <w:sz w:val="20"/>
              </w:rPr>
              <w:t>Q：</w:t>
            </w:r>
            <w:r>
              <w:rPr>
                <w:rFonts w:hint="eastAsia"/>
                <w:b/>
                <w:sz w:val="20"/>
                <w:lang w:val="en-US" w:eastAsia="zh-CN"/>
              </w:rPr>
              <w:t>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E：</w:t>
            </w:r>
            <w:r>
              <w:rPr>
                <w:rFonts w:hint="eastAsia"/>
                <w:b/>
                <w:sz w:val="20"/>
                <w:lang w:val="en-US" w:eastAsia="zh-CN"/>
              </w:rPr>
              <w:t>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O：</w:t>
            </w:r>
            <w:r>
              <w:rPr>
                <w:rFonts w:hint="eastAsia"/>
                <w:b/>
                <w:sz w:val="20"/>
                <w:lang w:val="en-US" w:eastAsia="zh-CN"/>
              </w:rPr>
              <w:t>34.01.02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强兴 陈琦 </w:t>
            </w:r>
          </w:p>
        </w:tc>
        <w:tc>
          <w:tcPr>
            <w:tcW w:w="13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Q：</w:t>
            </w:r>
            <w:r>
              <w:rPr>
                <w:rFonts w:hint="eastAsia"/>
                <w:b/>
                <w:sz w:val="20"/>
                <w:lang w:val="en-US" w:eastAsia="zh-CN"/>
              </w:rPr>
              <w:t>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E：</w:t>
            </w:r>
            <w:r>
              <w:rPr>
                <w:rFonts w:hint="eastAsia"/>
                <w:b/>
                <w:sz w:val="20"/>
                <w:lang w:val="en-US" w:eastAsia="zh-CN"/>
              </w:rPr>
              <w:t>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O：</w:t>
            </w:r>
            <w:r>
              <w:rPr>
                <w:rFonts w:hint="eastAsia"/>
                <w:b/>
                <w:sz w:val="20"/>
                <w:lang w:val="en-US" w:eastAsia="zh-CN"/>
              </w:rPr>
              <w:t>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会议室+远程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3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项目管理咨询流程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提出需求→可行性评估→立项→签订咨询协议→提供阶段性成果（如果需要）→提供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咨询方案→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验收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→结束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招标代理咨询流程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提出需求→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资质审核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签订协议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项目报建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编制招标文件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开标评标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资料交接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工程造价咨询流程</w:t>
            </w:r>
          </w:p>
          <w:p>
            <w:pPr>
              <w:snapToGrid w:val="0"/>
              <w:spacing w:line="280" w:lineRule="exac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客户提出需求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资料收集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编制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形成文件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文件审核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修改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（如果需要）→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终审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资料交接</w:t>
            </w:r>
          </w:p>
          <w:p>
            <w:pPr>
              <w:snapToGrid w:val="0"/>
              <w:spacing w:line="280" w:lineRule="exac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特殊过程：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咨询服务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主要质量指标：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完成客户要求的目标需求，符合其对应的相关验收标准要求。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办公使用产生的危险废物应妥当处置，一般废物分类处置，严格执行节能降耗要求。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生活垃圾、废纸、废料、废包装物等。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外部相关方的危险源，提前与相关方确认，了解对应的处置方法。室内办公区域主要危险源为电器电源的使用，如：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外部相关方机械加工操作不当 /  安全操作规程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外部相关方机械加工产生噪声 /  个体防护、设备维护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外部相关方焊接操作不当引起明火 /   消防培训、配置消防设备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外部相关方涉及烧结/表面处理作业粉尘排放/ 个体防护、除尘装置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外部相关方烧结作业产生的高温  /个体防护、设备维护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外部相关方起重、搬运过程起重搬运设备的使用不当/ 安全操作规程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危化品的使用/储存现场有明火/警示标识、消防培训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内外部相关方配电线路老化、破皮 /  定期检查、更换配电线路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-203200</wp:posOffset>
                  </wp:positionV>
                  <wp:extent cx="6850380" cy="7359650"/>
                  <wp:effectExtent l="0" t="0" r="7620" b="6350"/>
                  <wp:wrapNone/>
                  <wp:docPr id="3" name="图片 3" descr="D ISC-B-II-05 专业培训记录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 ISC-B-II-05 专业培训记录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380" cy="735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9"/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中华人民共和国宪法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工程建设项目招标代理机构资格认定办法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中华人民共和国环境保护法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中华人民共和国安全生产法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中华人民共和国固体废物环境污染防治法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中华人民共和国招标投标法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中华人民共和国清洁生产促进法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建筑工程造价管理办法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2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09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A0043D"/>
    <w:rsid w:val="1435790C"/>
    <w:rsid w:val="15961A4B"/>
    <w:rsid w:val="210F4B97"/>
    <w:rsid w:val="2E1A614E"/>
    <w:rsid w:val="385337BE"/>
    <w:rsid w:val="4C67439D"/>
    <w:rsid w:val="50F55253"/>
    <w:rsid w:val="598D024F"/>
    <w:rsid w:val="5D612BB1"/>
    <w:rsid w:val="6422023D"/>
    <w:rsid w:val="694C0C0B"/>
    <w:rsid w:val="694E5E77"/>
    <w:rsid w:val="6B326D2F"/>
    <w:rsid w:val="71D9208A"/>
    <w:rsid w:val="72752A78"/>
    <w:rsid w:val="73263F2A"/>
    <w:rsid w:val="7DC47CD0"/>
    <w:rsid w:val="7FFE5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2021-12-30T13:37:15Z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