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1270-2021-Q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青岛芊亿恒智能机械科技有限公司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2021年12月07日 下午至2021年12月07日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A3"/>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■适用于受审核方的法律法规及其他要求■G认证合同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汪桂丽</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2021-N1QMS-6043149</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刘思顺</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ISC-JSZJ-448</w:t>
            </w:r>
          </w:p>
          <w:p>
            <w:pPr>
              <w:spacing w:line="240" w:lineRule="exact"/>
              <w:jc w:val="center"/>
              <w:rPr>
                <w:b/>
                <w:color w:val="000000"/>
                <w:szCs w:val="21"/>
              </w:rPr>
            </w:pPr>
            <w:r>
              <w:rPr>
                <w:b/>
                <w:color w:val="000000"/>
                <w:szCs w:val="21"/>
              </w:rPr>
              <w:t>青岛昌佳机械有限公司</w:t>
            </w:r>
          </w:p>
        </w:tc>
        <w:tc>
          <w:tcPr>
            <w:tcW w:w="1140" w:type="dxa"/>
            <w:vAlign w:val="center"/>
          </w:tcPr>
          <w:p>
            <w:pPr>
              <w:spacing w:line="240" w:lineRule="exact"/>
              <w:jc w:val="center"/>
              <w:rPr>
                <w:b/>
                <w:color w:val="000000"/>
                <w:szCs w:val="21"/>
              </w:rPr>
            </w:pPr>
            <w:r>
              <w:rPr>
                <w:b/>
                <w:color w:val="000000"/>
                <w:szCs w:val="21"/>
              </w:rPr>
              <w:t>24.01.02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青岛芊亿恒智能机械科技有限公司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山东省青岛市黄岛区朝阳山路东、胶州湾西路北</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266400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山东省青岛市黄岛区朝阳山路东、胶州湾西路北</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266400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高洁</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13964235654</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朱晓飞</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高洁</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default"/>
                <w:lang w:val="en-US" w:eastAsia="zh-CN"/>
              </w:rPr>
            </w:pPr>
            <w:r>
              <w:rPr>
                <w:rFonts w:hint="eastAsia" w:ascii="宋体" w:hAnsi="宋体"/>
                <w:b/>
                <w:color w:val="000000"/>
                <w:szCs w:val="21"/>
              </w:rPr>
              <w:t>产品：</w:t>
            </w:r>
            <w:r>
              <w:rPr>
                <w:rFonts w:hint="eastAsia"/>
                <w:lang w:val="en-US" w:eastAsia="zh-CN"/>
              </w:rPr>
              <w:t>人工砂、碎石</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bookmarkStart w:id="35" w:name="审核范围"/>
            <w:r>
              <w:t>建筑废弃物资源化综合利用</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p>
          <w:p>
            <w:pPr>
              <w:tabs>
                <w:tab w:val="left" w:pos="360"/>
              </w:tabs>
              <w:ind w:left="360" w:hanging="360"/>
              <w:rPr>
                <w:rFonts w:ascii="宋体"/>
                <w:color w:val="000000"/>
                <w:szCs w:val="21"/>
              </w:rPr>
            </w:pPr>
            <w:r>
              <w:drawing>
                <wp:inline distT="0" distB="0" distL="114300" distR="114300">
                  <wp:extent cx="4229100" cy="30384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229100" cy="3038475"/>
                          </a:xfrm>
                          <a:prstGeom prst="rect">
                            <a:avLst/>
                          </a:prstGeom>
                          <a:noFill/>
                          <a:ln>
                            <a:noFill/>
                          </a:ln>
                        </pic:spPr>
                      </pic:pic>
                    </a:graphicData>
                  </a:graphic>
                </wp:inline>
              </w:drawing>
            </w:r>
          </w:p>
          <w:p>
            <w:pPr>
              <w:tabs>
                <w:tab w:val="left" w:pos="360"/>
              </w:tabs>
              <w:ind w:left="360" w:hanging="360"/>
              <w:rPr>
                <w:rFonts w:ascii="宋体"/>
                <w:color w:val="000000"/>
                <w:szCs w:val="21"/>
              </w:rPr>
            </w:pPr>
          </w:p>
          <w:p>
            <w:pPr>
              <w:tabs>
                <w:tab w:val="left" w:pos="360"/>
              </w:tabs>
              <w:ind w:left="360" w:hanging="360"/>
              <w:rPr>
                <w:rFonts w:ascii="宋体"/>
                <w:color w:val="000000"/>
                <w:szCs w:val="21"/>
              </w:rPr>
            </w:pP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建筑废弃物资源化综合利用</w:t>
            </w:r>
          </w:p>
        </w:tc>
        <w:tc>
          <w:tcPr>
            <w:tcW w:w="2006" w:type="dxa"/>
            <w:gridSpan w:val="3"/>
            <w:vAlign w:val="center"/>
          </w:tcPr>
          <w:p>
            <w:pPr>
              <w:spacing w:line="400" w:lineRule="exact"/>
              <w:rPr>
                <w:rFonts w:ascii="宋体" w:hAnsi="宋体"/>
                <w:b/>
                <w:color w:val="000000"/>
                <w:szCs w:val="21"/>
              </w:rPr>
            </w:pPr>
            <w:r>
              <w:rPr>
                <w:sz w:val="21"/>
                <w:szCs w:val="21"/>
              </w:rPr>
              <w:t>24.01.02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b/>
                <w:color w:val="000000"/>
                <w:szCs w:val="21"/>
                <w:lang w:val="de-DE"/>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606"/>
        <w:gridCol w:w="86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606"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86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青岛芊亿恒智能机械科技有限公司</w:t>
            </w:r>
          </w:p>
          <w:p>
            <w:pPr>
              <w:spacing w:before="40" w:after="40"/>
              <w:rPr>
                <w:sz w:val="21"/>
                <w:szCs w:val="21"/>
                <w:lang w:val="de-DE" w:eastAsia="ja-JP"/>
              </w:rPr>
            </w:pPr>
            <w:r>
              <w:rPr>
                <w:sz w:val="21"/>
                <w:szCs w:val="21"/>
              </w:rPr>
              <w:t>山东省青岛市黄岛区朝阳山路东、胶州湾西路北</w:t>
            </w:r>
          </w:p>
        </w:tc>
        <w:tc>
          <w:tcPr>
            <w:tcW w:w="2267" w:type="dxa"/>
          </w:tcPr>
          <w:p>
            <w:pPr>
              <w:spacing w:before="40" w:after="40"/>
              <w:rPr>
                <w:rFonts w:eastAsia="黑体"/>
                <w:szCs w:val="21"/>
                <w:lang w:val="de-DE" w:eastAsia="ja-JP"/>
              </w:rPr>
            </w:pPr>
            <w:r>
              <w:rPr>
                <w:sz w:val="21"/>
                <w:szCs w:val="21"/>
              </w:rPr>
              <w:t>山东省青岛市黄岛区朝阳山路东、胶州湾西路北</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606" w:type="dxa"/>
            <w:vAlign w:val="center"/>
          </w:tcPr>
          <w:p>
            <w:pPr>
              <w:pStyle w:val="19"/>
              <w:rPr>
                <w:rFonts w:eastAsia="黑体" w:cs="Arial"/>
                <w:sz w:val="21"/>
                <w:szCs w:val="21"/>
                <w:lang w:val="en-US" w:eastAsia="ja-JP"/>
              </w:rPr>
            </w:pPr>
            <w:r>
              <w:t>建筑废弃物资源化综合利用</w:t>
            </w:r>
          </w:p>
        </w:tc>
        <w:tc>
          <w:tcPr>
            <w:tcW w:w="866" w:type="dxa"/>
            <w:vAlign w:val="center"/>
          </w:tcPr>
          <w:p>
            <w:pPr>
              <w:spacing w:before="40" w:after="40"/>
              <w:rPr>
                <w:rFonts w:hint="eastAsia" w:ascii="宋体" w:hAnsi="宋体"/>
                <w:b/>
                <w:sz w:val="21"/>
                <w:szCs w:val="21"/>
              </w:rPr>
            </w:pPr>
            <w:r>
              <w:rPr>
                <w:rFonts w:hint="eastAsia" w:ascii="宋体" w:hAnsi="宋体"/>
                <w:b/>
                <w:sz w:val="21"/>
                <w:szCs w:val="21"/>
              </w:rPr>
              <w:t>GB/T19001-</w:t>
            </w:r>
          </w:p>
          <w:p>
            <w:pPr>
              <w:spacing w:before="40" w:after="40"/>
              <w:rPr>
                <w:rFonts w:eastAsia="黑体"/>
                <w:szCs w:val="21"/>
                <w:lang w:eastAsia="ja-JP"/>
              </w:rPr>
            </w:pPr>
            <w:r>
              <w:rPr>
                <w:rFonts w:hint="eastAsia" w:ascii="宋体" w:hAnsi="宋体"/>
                <w:b/>
                <w:sz w:val="21"/>
                <w:szCs w:val="21"/>
              </w:rPr>
              <w:t>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606" w:type="dxa"/>
            <w:vAlign w:val="center"/>
          </w:tcPr>
          <w:p>
            <w:pPr>
              <w:spacing w:before="40" w:after="40"/>
              <w:rPr>
                <w:rFonts w:eastAsia="黑体"/>
                <w:szCs w:val="21"/>
                <w:lang w:eastAsia="ja-JP"/>
              </w:rPr>
            </w:pPr>
          </w:p>
        </w:tc>
        <w:tc>
          <w:tcPr>
            <w:tcW w:w="866"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606" w:type="dxa"/>
            <w:vAlign w:val="center"/>
          </w:tcPr>
          <w:p>
            <w:pPr>
              <w:spacing w:before="40" w:after="40"/>
              <w:rPr>
                <w:rFonts w:eastAsia="黑体"/>
                <w:szCs w:val="21"/>
                <w:lang w:eastAsia="ja-JP"/>
              </w:rPr>
            </w:pPr>
          </w:p>
        </w:tc>
        <w:tc>
          <w:tcPr>
            <w:tcW w:w="866"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606" w:type="dxa"/>
            <w:vAlign w:val="center"/>
          </w:tcPr>
          <w:p>
            <w:pPr>
              <w:spacing w:before="40" w:after="40"/>
              <w:rPr>
                <w:rFonts w:eastAsia="黑体"/>
                <w:szCs w:val="21"/>
                <w:lang w:eastAsia="ja-JP"/>
              </w:rPr>
            </w:pPr>
          </w:p>
        </w:tc>
        <w:tc>
          <w:tcPr>
            <w:tcW w:w="866"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606" w:type="dxa"/>
            <w:vAlign w:val="center"/>
          </w:tcPr>
          <w:p>
            <w:pPr>
              <w:spacing w:before="40" w:after="40"/>
              <w:rPr>
                <w:rFonts w:eastAsia="黑体"/>
                <w:szCs w:val="21"/>
                <w:lang w:eastAsia="ja-JP"/>
              </w:rPr>
            </w:pPr>
          </w:p>
        </w:tc>
        <w:tc>
          <w:tcPr>
            <w:tcW w:w="866"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Cs w:val="21"/>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zCs w:val="21"/>
                <w:lang w:val="de-DE"/>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2021年11月1日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不存在需要确认过程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文审提出已调整确认，运输外包</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□否</w:t>
            </w:r>
            <w:r>
              <w:rPr>
                <w:rFonts w:hint="eastAsia" w:ascii="宋体" w:hAnsi="宋体"/>
                <w:color w:val="000000"/>
                <w:szCs w:val="21"/>
                <w:lang w:val="en-US" w:eastAsia="zh-CN"/>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b/>
                <w:color w:val="000000"/>
                <w:szCs w:val="21"/>
                <w:lang w:val="de-DE"/>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b/>
                <w:color w:val="000000"/>
                <w:szCs w:val="21"/>
                <w:lang w:val="de-DE"/>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b/>
                <w:color w:val="000000"/>
                <w:szCs w:val="21"/>
                <w:lang w:val="de-DE"/>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b/>
                <w:color w:val="000000"/>
                <w:szCs w:val="21"/>
                <w:lang w:val="de-DE"/>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b/>
                <w:color w:val="000000"/>
                <w:szCs w:val="21"/>
                <w:lang w:val="de-DE"/>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val="de-DE"/>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val="de-DE"/>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2021-12-</w:t>
            </w:r>
            <w:bookmarkEnd w:id="36"/>
            <w:r>
              <w:rPr>
                <w:rFonts w:hint="eastAsia" w:ascii="宋体"/>
                <w:b/>
                <w:color w:val="000000"/>
                <w:szCs w:val="21"/>
                <w:lang w:val="en-US" w:eastAsia="zh-CN"/>
              </w:rPr>
              <w:t>8下午至9日</w:t>
            </w:r>
          </w:p>
        </w:tc>
      </w:tr>
    </w:tbl>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bookmarkStart w:id="37" w:name="_GoBack"/>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zCs w:val="21"/>
                <w:lang w:val="de-DE"/>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建筑废弃物资源化综合利用</w:t>
            </w:r>
          </w:p>
        </w:tc>
        <w:tc>
          <w:tcPr>
            <w:tcW w:w="1541" w:type="dxa"/>
            <w:vAlign w:val="center"/>
          </w:tcPr>
          <w:p>
            <w:pPr>
              <w:spacing w:line="400" w:lineRule="exact"/>
              <w:rPr>
                <w:rFonts w:ascii="宋体" w:hAnsi="宋体"/>
                <w:b/>
                <w:color w:val="000000"/>
                <w:szCs w:val="21"/>
              </w:rPr>
            </w:pPr>
            <w:r>
              <w:rPr>
                <w:sz w:val="21"/>
                <w:szCs w:val="21"/>
              </w:rPr>
              <w:t>24.01.02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hint="eastAsia" w:ascii="宋体" w:hAnsi="宋体"/>
          <w:b/>
          <w:bCs/>
          <w:color w:val="000000"/>
          <w:szCs w:val="21"/>
        </w:rPr>
      </w:pPr>
      <w:r>
        <w:drawing>
          <wp:anchor distT="0" distB="0" distL="114300" distR="114300" simplePos="0" relativeHeight="251661312" behindDoc="0" locked="0" layoutInCell="1" allowOverlap="1">
            <wp:simplePos x="0" y="0"/>
            <wp:positionH relativeFrom="column">
              <wp:posOffset>-64135</wp:posOffset>
            </wp:positionH>
            <wp:positionV relativeFrom="paragraph">
              <wp:posOffset>136525</wp:posOffset>
            </wp:positionV>
            <wp:extent cx="6281420" cy="7259320"/>
            <wp:effectExtent l="0" t="0" r="5080" b="177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6281420" cy="7259320"/>
                    </a:xfrm>
                    <a:prstGeom prst="rect">
                      <a:avLst/>
                    </a:prstGeom>
                    <a:noFill/>
                    <a:ln>
                      <a:noFill/>
                    </a:ln>
                  </pic:spPr>
                </pic:pic>
              </a:graphicData>
            </a:graphic>
          </wp:anchor>
        </w:drawing>
      </w: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692" w:firstLineChars="27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498"/>
        <w:gridCol w:w="2495"/>
        <w:gridCol w:w="1391"/>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286"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495"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391"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1008"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4286"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p>
        </w:tc>
        <w:tc>
          <w:tcPr>
            <w:tcW w:w="2495" w:type="dxa"/>
            <w:vAlign w:val="center"/>
          </w:tcPr>
          <w:p>
            <w:pPr>
              <w:pStyle w:val="6"/>
              <w:pBdr>
                <w:bottom w:val="none" w:color="auto" w:sz="0" w:space="0"/>
              </w:pBdr>
              <w:ind w:right="600"/>
              <w:jc w:val="both"/>
              <w:rPr>
                <w:rFonts w:hint="default" w:eastAsia="宋体"/>
                <w:color w:val="000000"/>
                <w:sz w:val="21"/>
                <w:szCs w:val="21"/>
                <w:lang w:val="en-US" w:eastAsia="zh-CN"/>
              </w:rPr>
            </w:pPr>
          </w:p>
        </w:tc>
        <w:tc>
          <w:tcPr>
            <w:tcW w:w="1391" w:type="dxa"/>
            <w:vAlign w:val="center"/>
          </w:tcPr>
          <w:p>
            <w:pPr>
              <w:pStyle w:val="6"/>
              <w:pBdr>
                <w:bottom w:val="none" w:color="auto" w:sz="0" w:space="0"/>
              </w:pBdr>
              <w:ind w:right="600"/>
              <w:jc w:val="both"/>
              <w:rPr>
                <w:rFonts w:hint="eastAsia" w:eastAsia="宋体"/>
                <w:color w:val="000000"/>
                <w:sz w:val="21"/>
                <w:szCs w:val="21"/>
                <w:lang w:val="en-US" w:eastAsia="zh-CN"/>
              </w:rPr>
            </w:pPr>
          </w:p>
        </w:tc>
        <w:tc>
          <w:tcPr>
            <w:tcW w:w="1008"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286"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495" w:type="dxa"/>
            <w:vAlign w:val="center"/>
          </w:tcPr>
          <w:p>
            <w:pPr>
              <w:pStyle w:val="6"/>
              <w:pBdr>
                <w:bottom w:val="none" w:color="auto" w:sz="0" w:space="0"/>
              </w:pBdr>
              <w:ind w:right="600"/>
              <w:jc w:val="both"/>
              <w:rPr>
                <w:color w:val="000000"/>
                <w:sz w:val="21"/>
                <w:szCs w:val="21"/>
              </w:rPr>
            </w:pPr>
          </w:p>
        </w:tc>
        <w:tc>
          <w:tcPr>
            <w:tcW w:w="1391" w:type="dxa"/>
            <w:vAlign w:val="center"/>
          </w:tcPr>
          <w:p>
            <w:pPr>
              <w:pStyle w:val="6"/>
              <w:pBdr>
                <w:bottom w:val="none" w:color="auto" w:sz="0" w:space="0"/>
              </w:pBdr>
              <w:ind w:right="600"/>
              <w:jc w:val="both"/>
              <w:rPr>
                <w:color w:val="000000"/>
                <w:sz w:val="21"/>
                <w:szCs w:val="21"/>
              </w:rPr>
            </w:pPr>
          </w:p>
        </w:tc>
        <w:tc>
          <w:tcPr>
            <w:tcW w:w="1008"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286"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495" w:type="dxa"/>
            <w:vAlign w:val="center"/>
          </w:tcPr>
          <w:p>
            <w:pPr>
              <w:pStyle w:val="6"/>
              <w:pBdr>
                <w:bottom w:val="none" w:color="auto" w:sz="0" w:space="0"/>
              </w:pBdr>
              <w:ind w:right="600"/>
              <w:jc w:val="both"/>
              <w:rPr>
                <w:color w:val="000000"/>
                <w:sz w:val="21"/>
                <w:szCs w:val="21"/>
              </w:rPr>
            </w:pPr>
          </w:p>
        </w:tc>
        <w:tc>
          <w:tcPr>
            <w:tcW w:w="1391" w:type="dxa"/>
            <w:vAlign w:val="center"/>
          </w:tcPr>
          <w:p>
            <w:pPr>
              <w:pStyle w:val="6"/>
              <w:pBdr>
                <w:bottom w:val="none" w:color="auto" w:sz="0" w:space="0"/>
              </w:pBdr>
              <w:ind w:right="600"/>
              <w:jc w:val="both"/>
              <w:rPr>
                <w:color w:val="000000"/>
                <w:sz w:val="21"/>
                <w:szCs w:val="21"/>
              </w:rPr>
            </w:pPr>
          </w:p>
        </w:tc>
        <w:tc>
          <w:tcPr>
            <w:tcW w:w="1008"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286"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495" w:type="dxa"/>
            <w:vAlign w:val="center"/>
          </w:tcPr>
          <w:p>
            <w:pPr>
              <w:pStyle w:val="6"/>
              <w:pBdr>
                <w:bottom w:val="none" w:color="auto" w:sz="0" w:space="0"/>
              </w:pBdr>
              <w:ind w:right="600"/>
              <w:jc w:val="both"/>
              <w:rPr>
                <w:color w:val="000000"/>
                <w:sz w:val="21"/>
                <w:szCs w:val="21"/>
              </w:rPr>
            </w:pPr>
          </w:p>
        </w:tc>
        <w:tc>
          <w:tcPr>
            <w:tcW w:w="1391" w:type="dxa"/>
            <w:vAlign w:val="center"/>
          </w:tcPr>
          <w:p>
            <w:pPr>
              <w:pStyle w:val="6"/>
              <w:pBdr>
                <w:bottom w:val="none" w:color="auto" w:sz="0" w:space="0"/>
              </w:pBdr>
              <w:ind w:right="600"/>
              <w:jc w:val="both"/>
              <w:rPr>
                <w:color w:val="000000"/>
                <w:sz w:val="21"/>
                <w:szCs w:val="21"/>
              </w:rPr>
            </w:pPr>
          </w:p>
        </w:tc>
        <w:tc>
          <w:tcPr>
            <w:tcW w:w="1008"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286"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495" w:type="dxa"/>
            <w:vAlign w:val="center"/>
          </w:tcPr>
          <w:p>
            <w:pPr>
              <w:pStyle w:val="6"/>
              <w:pBdr>
                <w:bottom w:val="none" w:color="auto" w:sz="0" w:space="0"/>
              </w:pBdr>
              <w:ind w:right="600"/>
              <w:jc w:val="both"/>
              <w:rPr>
                <w:color w:val="000000"/>
                <w:sz w:val="21"/>
                <w:szCs w:val="21"/>
              </w:rPr>
            </w:pPr>
          </w:p>
        </w:tc>
        <w:tc>
          <w:tcPr>
            <w:tcW w:w="1391" w:type="dxa"/>
            <w:vAlign w:val="center"/>
          </w:tcPr>
          <w:p>
            <w:pPr>
              <w:pStyle w:val="6"/>
              <w:pBdr>
                <w:bottom w:val="none" w:color="auto" w:sz="0" w:space="0"/>
              </w:pBdr>
              <w:ind w:right="600"/>
              <w:jc w:val="both"/>
              <w:rPr>
                <w:color w:val="000000"/>
                <w:sz w:val="21"/>
                <w:szCs w:val="21"/>
              </w:rPr>
            </w:pPr>
          </w:p>
        </w:tc>
        <w:tc>
          <w:tcPr>
            <w:tcW w:w="1008"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02B5DFD"/>
    <w:rsid w:val="033F0B83"/>
    <w:rsid w:val="0560632D"/>
    <w:rsid w:val="05B26144"/>
    <w:rsid w:val="08374C4D"/>
    <w:rsid w:val="0BD6121E"/>
    <w:rsid w:val="0C705CDB"/>
    <w:rsid w:val="0E3A0757"/>
    <w:rsid w:val="110F3211"/>
    <w:rsid w:val="14761E84"/>
    <w:rsid w:val="1BAA369E"/>
    <w:rsid w:val="1DA72D68"/>
    <w:rsid w:val="1F253C23"/>
    <w:rsid w:val="20C115C8"/>
    <w:rsid w:val="21D3246F"/>
    <w:rsid w:val="298B0B14"/>
    <w:rsid w:val="2B06497D"/>
    <w:rsid w:val="374301D8"/>
    <w:rsid w:val="3770237A"/>
    <w:rsid w:val="39CB3775"/>
    <w:rsid w:val="3A48138C"/>
    <w:rsid w:val="3B7D1A6A"/>
    <w:rsid w:val="46D073CB"/>
    <w:rsid w:val="4C335168"/>
    <w:rsid w:val="4D9D75EC"/>
    <w:rsid w:val="4FCC502D"/>
    <w:rsid w:val="5A2A3932"/>
    <w:rsid w:val="5A9C3A99"/>
    <w:rsid w:val="5CE55E0E"/>
    <w:rsid w:val="5DFE20F6"/>
    <w:rsid w:val="65CF013F"/>
    <w:rsid w:val="67AA29A7"/>
    <w:rsid w:val="681E2CF6"/>
    <w:rsid w:val="688C714C"/>
    <w:rsid w:val="7C002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付正</cp:lastModifiedBy>
  <dcterms:modified xsi:type="dcterms:W3CDTF">2021-12-13T12:00:57Z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